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78A00"/>
          <w:sz w:val="44"/>
        </w:rPr>
        <w:t>AEP-008</w:t>
      </w:r>
    </w:p>
    <w:p>
      <w:pPr>
        <w:jc w:val="center"/>
      </w:pPr>
      <w:r>
        <w:rPr>
          <w:b/>
          <w:color w:val="0B1020"/>
          <w:sz w:val="60"/>
        </w:rPr>
        <w:t>Proof Room Standard</w:t>
      </w:r>
    </w:p>
    <w:p>
      <w:pPr>
        <w:jc w:val="center"/>
      </w:pPr>
      <w:r>
        <w:rPr>
          <w:color w:val="46536E"/>
          <w:sz w:val="27"/>
        </w:rPr>
        <w:t>Governed workspaces for institutional machine-work proof</w:t>
      </w:r>
    </w:p>
    <w:p>
      <w:pPr>
        <w:jc w:val="center"/>
      </w:pPr>
      <w:r>
        <w:rPr>
          <w:color w:val="46536E"/>
          <w:sz w:val="21"/>
        </w:rPr>
        <w:t>Version 1.1 Institutional Edition · Proof Gradient / Agent Evolution Protocol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88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proof_room_architecture_v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88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B78A00"/>
          <w:sz w:val="21"/>
        </w:rPr>
        <w:t>AEP-001 defines the protocol. AEP-002 defines the docket. AEP-003 defines the packet. AEP-004 defines the gate. AEP-005 defines the permission. AEP-006 defines recovery proof. AEP-007 defines public proof. AEP-008 defines the room.</w:t>
      </w:r>
    </w:p>
    <w:p>
      <w:r>
        <w:br w:type="page"/>
      </w:r>
    </w:p>
    <w:p>
      <w:pPr>
        <w:pStyle w:val="Heading1"/>
      </w:pPr>
      <w:r>
        <w:t>1. Abstract</w:t>
      </w:r>
    </w:p>
    <w:p>
      <w:r>
        <w:t>AEP-008 defines the Proof Room: the governed workspace where machine work becomes institutional proof. A Proof Room binds commitments, runs, ProofPackets, Evidence Dockets, Selection Gate decisions, Tool Permission records, Rollback Receipts, and Public-Safe Proof Reports into one controlled room with roles, scope, boundaries, review, approvals, publication rules, audit export, and closure.</w:t>
      </w:r>
    </w:p>
    <w:p>
      <w:pPr>
        <w:pStyle w:val="Heading1"/>
      </w:pPr>
      <w:r>
        <w:t>2. Canonical Law</w:t>
      </w:r>
    </w:p>
    <w:p>
      <w:r>
        <w:rPr>
          <w:b/>
          <w:color w:val="0B1020"/>
          <w:sz w:val="26"/>
        </w:rPr>
        <w:t>No room without charter.</w:t>
      </w:r>
    </w:p>
    <w:p>
      <w:r>
        <w:rPr>
          <w:b/>
          <w:color w:val="0B1020"/>
          <w:sz w:val="26"/>
        </w:rPr>
        <w:t>No run without scope.</w:t>
      </w:r>
    </w:p>
    <w:p>
      <w:r>
        <w:rPr>
          <w:b/>
          <w:color w:val="0B1020"/>
          <w:sz w:val="26"/>
        </w:rPr>
        <w:t>No evidence without boundary.</w:t>
      </w:r>
    </w:p>
    <w:p>
      <w:r>
        <w:rPr>
          <w:b/>
          <w:color w:val="0B1020"/>
          <w:sz w:val="26"/>
        </w:rPr>
        <w:t>No promotion without gate.</w:t>
      </w:r>
    </w:p>
    <w:p>
      <w:r>
        <w:rPr>
          <w:b/>
          <w:color w:val="0B1020"/>
          <w:sz w:val="26"/>
        </w:rPr>
        <w:t>No tool without permission.</w:t>
      </w:r>
    </w:p>
    <w:p>
      <w:r>
        <w:rPr>
          <w:b/>
          <w:color w:val="0B1020"/>
          <w:sz w:val="26"/>
        </w:rPr>
        <w:t>No release without rollback.</w:t>
      </w:r>
    </w:p>
    <w:p>
      <w:r>
        <w:rPr>
          <w:b/>
          <w:color w:val="0B1020"/>
          <w:sz w:val="26"/>
        </w:rPr>
        <w:t>No public proof without redaction.</w:t>
      </w:r>
    </w:p>
    <w:p>
      <w:r>
        <w:rPr>
          <w:b/>
          <w:color w:val="0B1020"/>
          <w:sz w:val="26"/>
        </w:rPr>
        <w:t>No closure without archive.</w:t>
      </w:r>
    </w:p>
    <w:p>
      <w:r>
        <w:rPr>
          <w:b/>
          <w:color w:val="0B1020"/>
          <w:sz w:val="26"/>
        </w:rPr>
        <w:t>No proof, no evolution.</w:t>
      </w:r>
    </w:p>
    <w:p>
      <w:r>
        <w:br w:type="page"/>
      </w:r>
    </w:p>
    <w:p>
      <w:pPr>
        <w:pStyle w:val="Heading1"/>
      </w:pPr>
      <w:r>
        <w:t>3. Relationship to the AEP Stack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0B1020"/>
          </w:tcPr>
          <w:p>
            <w:r/>
            <w:r>
              <w:rPr>
                <w:b/>
                <w:color w:val="FFD76A"/>
                <w:sz w:val="17"/>
              </w:rPr>
              <w:t>Standard</w:t>
            </w:r>
          </w:p>
        </w:tc>
        <w:tc>
          <w:tcPr>
            <w:tcW w:type="dxa" w:w="5141"/>
            <w:shd w:fill="0B1020"/>
          </w:tcPr>
          <w:p>
            <w:r/>
            <w:r>
              <w:rPr>
                <w:b/>
                <w:color w:val="FFD76A"/>
                <w:sz w:val="17"/>
              </w:rPr>
              <w:t>Role</w:t>
            </w:r>
          </w:p>
        </w:tc>
      </w:tr>
      <w:tr>
        <w:tc>
          <w:tcPr>
            <w:tcW w:type="dxa" w:w="5141"/>
          </w:tcPr>
          <w:p>
            <w:r>
              <w:rPr>
                <w:sz w:val="18"/>
              </w:rPr>
              <w:t>AEP-001</w:t>
            </w:r>
          </w:p>
        </w:tc>
        <w:tc>
          <w:tcPr>
            <w:tcW w:type="dxa" w:w="5141"/>
          </w:tcPr>
          <w:p>
            <w:r>
              <w:rPr>
                <w:sz w:val="18"/>
              </w:rPr>
              <w:t>Protocol</w:t>
            </w:r>
          </w:p>
        </w:tc>
      </w:tr>
      <w:tr>
        <w:tc>
          <w:tcPr>
            <w:tcW w:type="dxa" w:w="5141"/>
          </w:tcPr>
          <w:p>
            <w:r>
              <w:rPr>
                <w:sz w:val="18"/>
              </w:rPr>
              <w:t>AEP-002</w:t>
            </w:r>
          </w:p>
        </w:tc>
        <w:tc>
          <w:tcPr>
            <w:tcW w:type="dxa" w:w="5141"/>
          </w:tcPr>
          <w:p>
            <w:r>
              <w:rPr>
                <w:sz w:val="18"/>
              </w:rPr>
              <w:t>Evidence Docket</w:t>
            </w:r>
          </w:p>
        </w:tc>
      </w:tr>
      <w:tr>
        <w:tc>
          <w:tcPr>
            <w:tcW w:type="dxa" w:w="5141"/>
          </w:tcPr>
          <w:p>
            <w:r>
              <w:rPr>
                <w:sz w:val="18"/>
              </w:rPr>
              <w:t>AEP-003</w:t>
            </w:r>
          </w:p>
        </w:tc>
        <w:tc>
          <w:tcPr>
            <w:tcW w:type="dxa" w:w="5141"/>
          </w:tcPr>
          <w:p>
            <w:r>
              <w:rPr>
                <w:sz w:val="18"/>
              </w:rPr>
              <w:t>ProofPacket</w:t>
            </w:r>
          </w:p>
        </w:tc>
      </w:tr>
      <w:tr>
        <w:tc>
          <w:tcPr>
            <w:tcW w:type="dxa" w:w="5141"/>
          </w:tcPr>
          <w:p>
            <w:r>
              <w:rPr>
                <w:sz w:val="18"/>
              </w:rPr>
              <w:t>AEP-004</w:t>
            </w:r>
          </w:p>
        </w:tc>
        <w:tc>
          <w:tcPr>
            <w:tcW w:type="dxa" w:w="5141"/>
          </w:tcPr>
          <w:p>
            <w:r>
              <w:rPr>
                <w:sz w:val="18"/>
              </w:rPr>
              <w:t>Selection Gate</w:t>
            </w:r>
          </w:p>
        </w:tc>
      </w:tr>
      <w:tr>
        <w:tc>
          <w:tcPr>
            <w:tcW w:type="dxa" w:w="5141"/>
          </w:tcPr>
          <w:p>
            <w:r>
              <w:rPr>
                <w:sz w:val="18"/>
              </w:rPr>
              <w:t>AEP-005</w:t>
            </w:r>
          </w:p>
        </w:tc>
        <w:tc>
          <w:tcPr>
            <w:tcW w:type="dxa" w:w="5141"/>
          </w:tcPr>
          <w:p>
            <w:r>
              <w:rPr>
                <w:sz w:val="18"/>
              </w:rPr>
              <w:t>Tool Permission</w:t>
            </w:r>
          </w:p>
        </w:tc>
      </w:tr>
      <w:tr>
        <w:tc>
          <w:tcPr>
            <w:tcW w:type="dxa" w:w="5141"/>
          </w:tcPr>
          <w:p>
            <w:r>
              <w:rPr>
                <w:sz w:val="18"/>
              </w:rPr>
              <w:t>AEP-006</w:t>
            </w:r>
          </w:p>
        </w:tc>
        <w:tc>
          <w:tcPr>
            <w:tcW w:type="dxa" w:w="5141"/>
          </w:tcPr>
          <w:p>
            <w:r>
              <w:rPr>
                <w:sz w:val="18"/>
              </w:rPr>
              <w:t>Rollback Receipt</w:t>
            </w:r>
          </w:p>
        </w:tc>
      </w:tr>
      <w:tr>
        <w:tc>
          <w:tcPr>
            <w:tcW w:type="dxa" w:w="5141"/>
          </w:tcPr>
          <w:p>
            <w:r>
              <w:rPr>
                <w:sz w:val="18"/>
              </w:rPr>
              <w:t>AEP-007</w:t>
            </w:r>
          </w:p>
        </w:tc>
        <w:tc>
          <w:tcPr>
            <w:tcW w:type="dxa" w:w="5141"/>
          </w:tcPr>
          <w:p>
            <w:r>
              <w:rPr>
                <w:sz w:val="18"/>
              </w:rPr>
              <w:t>Public-Safe Proof Report</w:t>
            </w:r>
          </w:p>
        </w:tc>
      </w:tr>
      <w:tr>
        <w:tc>
          <w:tcPr>
            <w:tcW w:type="dxa" w:w="5141"/>
          </w:tcPr>
          <w:p>
            <w:r>
              <w:rPr>
                <w:sz w:val="18"/>
              </w:rPr>
              <w:t>AEP-008</w:t>
            </w:r>
          </w:p>
        </w:tc>
        <w:tc>
          <w:tcPr>
            <w:tcW w:type="dxa" w:w="5141"/>
          </w:tcPr>
          <w:p>
            <w:r>
              <w:rPr>
                <w:sz w:val="18"/>
              </w:rPr>
              <w:t>Proof Room</w:t>
            </w:r>
          </w:p>
        </w:tc>
      </w:tr>
    </w:tbl>
    <w:p>
      <w:pPr>
        <w:pStyle w:val="Heading1"/>
      </w:pPr>
      <w:r>
        <w:t>4. Proof Room Modes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0B1020"/>
          </w:tcPr>
          <w:p>
            <w:r/>
            <w:r>
              <w:rPr>
                <w:b/>
                <w:color w:val="FFD76A"/>
                <w:sz w:val="17"/>
              </w:rPr>
              <w:t>Mode</w:t>
            </w:r>
          </w:p>
        </w:tc>
        <w:tc>
          <w:tcPr>
            <w:tcW w:type="dxa" w:w="5141"/>
            <w:shd w:fill="0B1020"/>
          </w:tcPr>
          <w:p>
            <w:r/>
            <w:r>
              <w:rPr>
                <w:b/>
                <w:color w:val="FFD76A"/>
                <w:sz w:val="17"/>
              </w:rPr>
              <w:t>Purpose</w:t>
            </w:r>
          </w:p>
        </w:tc>
      </w:tr>
      <w:tr>
        <w:tc>
          <w:tcPr>
            <w:tcW w:type="dxa" w:w="5141"/>
          </w:tcPr>
          <w:p>
            <w:r>
              <w:rPr>
                <w:sz w:val="17"/>
              </w:rPr>
              <w:t>sandbox</w:t>
            </w:r>
          </w:p>
        </w:tc>
        <w:tc>
          <w:tcPr>
            <w:tcW w:type="dxa" w:w="5141"/>
          </w:tcPr>
          <w:p>
            <w:r>
              <w:rPr>
                <w:sz w:val="17"/>
              </w:rPr>
              <w:t>Low-risk learning, demonstration, experimentation.</w:t>
            </w:r>
          </w:p>
        </w:tc>
      </w:tr>
      <w:tr>
        <w:tc>
          <w:tcPr>
            <w:tcW w:type="dxa" w:w="5141"/>
          </w:tcPr>
          <w:p>
            <w:r>
              <w:rPr>
                <w:sz w:val="17"/>
              </w:rPr>
              <w:t>team</w:t>
            </w:r>
          </w:p>
        </w:tc>
        <w:tc>
          <w:tcPr>
            <w:tcW w:type="dxa" w:w="5141"/>
          </w:tcPr>
          <w:p>
            <w:r>
              <w:rPr>
                <w:sz w:val="17"/>
              </w:rPr>
              <w:t>Shared team workflow improvement.</w:t>
            </w:r>
          </w:p>
        </w:tc>
      </w:tr>
      <w:tr>
        <w:tc>
          <w:tcPr>
            <w:tcW w:type="dxa" w:w="5141"/>
          </w:tcPr>
          <w:p>
            <w:r>
              <w:rPr>
                <w:sz w:val="17"/>
              </w:rPr>
              <w:t>institutional</w:t>
            </w:r>
          </w:p>
        </w:tc>
        <w:tc>
          <w:tcPr>
            <w:tcW w:type="dxa" w:w="5141"/>
          </w:tcPr>
          <w:p>
            <w:r>
              <w:rPr>
                <w:sz w:val="17"/>
              </w:rPr>
              <w:t>Enterprise, regulated, audit-ready governance.</w:t>
            </w:r>
          </w:p>
        </w:tc>
      </w:tr>
      <w:tr>
        <w:tc>
          <w:tcPr>
            <w:tcW w:type="dxa" w:w="5141"/>
          </w:tcPr>
          <w:p>
            <w:r>
              <w:rPr>
                <w:sz w:val="17"/>
              </w:rPr>
              <w:t>public_safe</w:t>
            </w:r>
          </w:p>
        </w:tc>
        <w:tc>
          <w:tcPr>
            <w:tcW w:type="dxa" w:w="5141"/>
          </w:tcPr>
          <w:p>
            <w:r>
              <w:rPr>
                <w:sz w:val="17"/>
              </w:rPr>
              <w:t>External proof report preparation and approval.</w:t>
            </w:r>
          </w:p>
        </w:tc>
      </w:tr>
      <w:tr>
        <w:tc>
          <w:tcPr>
            <w:tcW w:type="dxa" w:w="5141"/>
          </w:tcPr>
          <w:p>
            <w:r>
              <w:rPr>
                <w:sz w:val="17"/>
              </w:rPr>
              <w:t>incident</w:t>
            </w:r>
          </w:p>
        </w:tc>
        <w:tc>
          <w:tcPr>
            <w:tcW w:type="dxa" w:w="5141"/>
          </w:tcPr>
          <w:p>
            <w:r>
              <w:rPr>
                <w:sz w:val="17"/>
              </w:rPr>
              <w:t>Recovery, rollback, quarantine, compensation.</w:t>
            </w:r>
          </w:p>
        </w:tc>
      </w:tr>
      <w:tr>
        <w:tc>
          <w:tcPr>
            <w:tcW w:type="dxa" w:w="5141"/>
          </w:tcPr>
          <w:p>
            <w:r>
              <w:rPr>
                <w:sz w:val="17"/>
              </w:rPr>
              <w:t>sovereign</w:t>
            </w:r>
          </w:p>
        </w:tc>
        <w:tc>
          <w:tcPr>
            <w:tcW w:type="dxa" w:w="5141"/>
          </w:tcPr>
          <w:p>
            <w:r>
              <w:rPr>
                <w:sz w:val="17"/>
              </w:rPr>
              <w:t>Public-sector, national, jurisdictional, or protected use.</w:t>
            </w:r>
          </w:p>
        </w:tc>
      </w:tr>
    </w:tbl>
    <w:p>
      <w:r>
        <w:br w:type="page"/>
      </w:r>
    </w:p>
    <w:p>
      <w:pPr>
        <w:pStyle w:val="Heading1"/>
      </w:pPr>
      <w:r>
        <w:t>5. Lifecycle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88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proof_room_lifecycle_v1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88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 Proof Room operates proof as a lifecycle: charter, scope, roles, bounded work, evidence, selection, recovery, public-safe reporting, audit export, closure, and archive.</w:t>
      </w:r>
    </w:p>
    <w:p>
      <w:r>
        <w:br w:type="page"/>
      </w:r>
    </w:p>
    <w:p>
      <w:pPr>
        <w:pStyle w:val="Heading1"/>
      </w:pPr>
      <w:r>
        <w:t>6. Roles and Separation of Duties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880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proof_room_roles_boundaries_v1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88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 high-risk room must not allow the same actor to execute a candidate, approve its promotion, publish the public report, and audit their own decision.</w:t>
      </w:r>
    </w:p>
    <w:p>
      <w:r>
        <w:br w:type="page"/>
      </w:r>
    </w:p>
    <w:p>
      <w:pPr>
        <w:pStyle w:val="Heading1"/>
      </w:pPr>
      <w:r>
        <w:t>7. Core Objects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0B1020"/>
          </w:tcPr>
          <w:p>
            <w:r/>
            <w:r>
              <w:rPr>
                <w:b/>
                <w:color w:val="FFD76A"/>
                <w:sz w:val="17"/>
              </w:rPr>
              <w:t>Object</w:t>
            </w:r>
          </w:p>
        </w:tc>
        <w:tc>
          <w:tcPr>
            <w:tcW w:type="dxa" w:w="5141"/>
            <w:shd w:fill="0B1020"/>
          </w:tcPr>
          <w:p>
            <w:r/>
            <w:r>
              <w:rPr>
                <w:b/>
                <w:color w:val="FFD76A"/>
                <w:sz w:val="17"/>
              </w:rPr>
              <w:t>Purpose</w:t>
            </w:r>
          </w:p>
        </w:tc>
      </w:tr>
      <w:tr>
        <w:tc>
          <w:tcPr>
            <w:tcW w:type="dxa" w:w="5141"/>
          </w:tcPr>
          <w:p>
            <w:r>
              <w:rPr>
                <w:sz w:val="15"/>
              </w:rPr>
              <w:t>Manifest</w:t>
            </w:r>
          </w:p>
        </w:tc>
        <w:tc>
          <w:tcPr>
            <w:tcW w:type="dxa" w:w="5141"/>
          </w:tcPr>
          <w:p>
            <w:r>
              <w:rPr>
                <w:sz w:val="15"/>
              </w:rPr>
              <w:t>Identifies room, mode, owner, jurisdiction, purpose, status, boundary, and charter.</w:t>
            </w:r>
          </w:p>
        </w:tc>
      </w:tr>
      <w:tr>
        <w:tc>
          <w:tcPr>
            <w:tcW w:type="dxa" w:w="5141"/>
          </w:tcPr>
          <w:p>
            <w:r>
              <w:rPr>
                <w:sz w:val="15"/>
              </w:rPr>
              <w:t>Charter</w:t>
            </w:r>
          </w:p>
        </w:tc>
        <w:tc>
          <w:tcPr>
            <w:tcW w:type="dxa" w:w="5141"/>
          </w:tcPr>
          <w:p>
            <w:r>
              <w:rPr>
                <w:sz w:val="15"/>
              </w:rPr>
              <w:t>Defines mission, criteria, scope, agents, tools, data, evals, gate, rollback, publication, closure.</w:t>
            </w:r>
          </w:p>
        </w:tc>
      </w:tr>
      <w:tr>
        <w:tc>
          <w:tcPr>
            <w:tcW w:type="dxa" w:w="5141"/>
          </w:tcPr>
          <w:p>
            <w:r>
              <w:rPr>
                <w:sz w:val="15"/>
              </w:rPr>
              <w:t>Scope Boundary</w:t>
            </w:r>
          </w:p>
        </w:tc>
        <w:tc>
          <w:tcPr>
            <w:tcW w:type="dxa" w:w="5141"/>
          </w:tcPr>
          <w:p>
            <w:r>
              <w:rPr>
                <w:sz w:val="15"/>
              </w:rPr>
              <w:t>Defines tenant, user, agent, tool, data, environment, jurisdiction, time, budget, publication scope.</w:t>
            </w:r>
          </w:p>
        </w:tc>
      </w:tr>
      <w:tr>
        <w:tc>
          <w:tcPr>
            <w:tcW w:type="dxa" w:w="5141"/>
          </w:tcPr>
          <w:p>
            <w:r>
              <w:rPr>
                <w:sz w:val="15"/>
              </w:rPr>
              <w:t>Role Registry</w:t>
            </w:r>
          </w:p>
        </w:tc>
        <w:tc>
          <w:tcPr>
            <w:tcW w:type="dxa" w:w="5141"/>
          </w:tcPr>
          <w:p>
            <w:r>
              <w:rPr>
                <w:sz w:val="15"/>
              </w:rPr>
              <w:t>Assigns roles and records separation-of-duties requirements.</w:t>
            </w:r>
          </w:p>
        </w:tc>
      </w:tr>
      <w:tr>
        <w:tc>
          <w:tcPr>
            <w:tcW w:type="dxa" w:w="5141"/>
          </w:tcPr>
          <w:p>
            <w:r>
              <w:rPr>
                <w:sz w:val="15"/>
              </w:rPr>
              <w:t>Evidence Boundary</w:t>
            </w:r>
          </w:p>
        </w:tc>
        <w:tc>
          <w:tcPr>
            <w:tcW w:type="dxa" w:w="5141"/>
          </w:tcPr>
          <w:p>
            <w:r>
              <w:rPr>
                <w:sz w:val="15"/>
              </w:rPr>
              <w:t>Defines public/private/protected evidence, retention, access, and publication rules.</w:t>
            </w:r>
          </w:p>
        </w:tc>
      </w:tr>
      <w:tr>
        <w:tc>
          <w:tcPr>
            <w:tcW w:type="dxa" w:w="5141"/>
          </w:tcPr>
          <w:p>
            <w:r>
              <w:rPr>
                <w:sz w:val="15"/>
              </w:rPr>
              <w:t>Work Item Registry</w:t>
            </w:r>
          </w:p>
        </w:tc>
        <w:tc>
          <w:tcPr>
            <w:tcW w:type="dxa" w:w="5141"/>
          </w:tcPr>
          <w:p>
            <w:r>
              <w:rPr>
                <w:sz w:val="15"/>
              </w:rPr>
              <w:t>Tracks governed work items and references runs, dockets, gates, rollbacks, reports.</w:t>
            </w:r>
          </w:p>
        </w:tc>
      </w:tr>
      <w:tr>
        <w:tc>
          <w:tcPr>
            <w:tcW w:type="dxa" w:w="5141"/>
          </w:tcPr>
          <w:p>
            <w:r>
              <w:rPr>
                <w:sz w:val="15"/>
              </w:rPr>
              <w:t>Registers</w:t>
            </w:r>
          </w:p>
        </w:tc>
        <w:tc>
          <w:tcPr>
            <w:tcW w:type="dxa" w:w="5141"/>
          </w:tcPr>
          <w:p>
            <w:r>
              <w:rPr>
                <w:sz w:val="15"/>
              </w:rPr>
              <w:t>Track artifacts, permissions, dockets, packets, gates, rollback, and reports.</w:t>
            </w:r>
          </w:p>
        </w:tc>
      </w:tr>
      <w:tr>
        <w:tc>
          <w:tcPr>
            <w:tcW w:type="dxa" w:w="5141"/>
          </w:tcPr>
          <w:p>
            <w:r>
              <w:rPr>
                <w:sz w:val="15"/>
              </w:rPr>
              <w:t>Decision Log</w:t>
            </w:r>
          </w:p>
        </w:tc>
        <w:tc>
          <w:tcPr>
            <w:tcW w:type="dxa" w:w="5141"/>
          </w:tcPr>
          <w:p>
            <w:r>
              <w:rPr>
                <w:sz w:val="15"/>
              </w:rPr>
              <w:t>Records decisions, approvers, evidence, claim boundaries, supersession, and status.</w:t>
            </w:r>
          </w:p>
        </w:tc>
      </w:tr>
      <w:tr>
        <w:tc>
          <w:tcPr>
            <w:tcW w:type="dxa" w:w="5141"/>
          </w:tcPr>
          <w:p>
            <w:r>
              <w:rPr>
                <w:sz w:val="15"/>
              </w:rPr>
              <w:t>Audit Export</w:t>
            </w:r>
          </w:p>
        </w:tc>
        <w:tc>
          <w:tcPr>
            <w:tcW w:type="dxa" w:w="5141"/>
          </w:tcPr>
          <w:p>
            <w:r>
              <w:rPr>
                <w:sz w:val="15"/>
              </w:rPr>
              <w:t>Exports room evidence for review.</w:t>
            </w:r>
          </w:p>
        </w:tc>
      </w:tr>
      <w:tr>
        <w:tc>
          <w:tcPr>
            <w:tcW w:type="dxa" w:w="5141"/>
          </w:tcPr>
          <w:p>
            <w:r>
              <w:rPr>
                <w:sz w:val="15"/>
              </w:rPr>
              <w:t>Closure Report</w:t>
            </w:r>
          </w:p>
        </w:tc>
        <w:tc>
          <w:tcPr>
            <w:tcW w:type="dxa" w:w="5141"/>
          </w:tcPr>
          <w:p>
            <w:r>
              <w:rPr>
                <w:sz w:val="15"/>
              </w:rPr>
              <w:t>Records what was proved, published, private, unresolved, and archived.</w:t>
            </w:r>
          </w:p>
        </w:tc>
      </w:tr>
    </w:tbl>
    <w:p>
      <w:r>
        <w:br w:type="page"/>
      </w:r>
    </w:p>
    <w:p>
      <w:pPr>
        <w:pStyle w:val="Heading1"/>
      </w:pPr>
      <w:r>
        <w:t>8. Operating Modes and Boundaries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880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proof_room_operating_modes_v1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88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9. Invariants</w:t>
      </w:r>
    </w:p>
    <w:p>
      <w:pPr>
        <w:pStyle w:val="ListBullet"/>
      </w:pPr>
      <w:r>
        <w:rPr>
          <w:sz w:val="17"/>
        </w:rPr>
        <w:t>No Proof Room without a charter.</w:t>
      </w:r>
    </w:p>
    <w:p>
      <w:pPr>
        <w:pStyle w:val="ListBullet"/>
      </w:pPr>
      <w:r>
        <w:rPr>
          <w:sz w:val="17"/>
        </w:rPr>
        <w:t>No room without scope boundary.</w:t>
      </w:r>
    </w:p>
    <w:p>
      <w:pPr>
        <w:pStyle w:val="ListBullet"/>
      </w:pPr>
      <w:r>
        <w:rPr>
          <w:sz w:val="17"/>
        </w:rPr>
        <w:t>No high-risk room without separation of duties.</w:t>
      </w:r>
    </w:p>
    <w:p>
      <w:pPr>
        <w:pStyle w:val="ListBullet"/>
      </w:pPr>
      <w:r>
        <w:rPr>
          <w:sz w:val="17"/>
        </w:rPr>
        <w:t>No evidence without classification.</w:t>
      </w:r>
    </w:p>
    <w:p>
      <w:pPr>
        <w:pStyle w:val="ListBullet"/>
      </w:pPr>
      <w:r>
        <w:rPr>
          <w:sz w:val="17"/>
        </w:rPr>
        <w:t>No run without commitment reference.</w:t>
      </w:r>
    </w:p>
    <w:p>
      <w:pPr>
        <w:pStyle w:val="ListBullet"/>
      </w:pPr>
      <w:r>
        <w:rPr>
          <w:sz w:val="17"/>
        </w:rPr>
        <w:t>No promotion without Selection Gate reference.</w:t>
      </w:r>
    </w:p>
    <w:p>
      <w:pPr>
        <w:pStyle w:val="ListBullet"/>
      </w:pPr>
      <w:r>
        <w:rPr>
          <w:sz w:val="17"/>
        </w:rPr>
        <w:t>No release without rollback reference.</w:t>
      </w:r>
    </w:p>
    <w:p>
      <w:pPr>
        <w:pStyle w:val="ListBullet"/>
      </w:pPr>
      <w:r>
        <w:rPr>
          <w:sz w:val="17"/>
        </w:rPr>
        <w:t>No public report without redaction review.</w:t>
      </w:r>
    </w:p>
    <w:p>
      <w:pPr>
        <w:pStyle w:val="ListBullet"/>
      </w:pPr>
      <w:r>
        <w:rPr>
          <w:sz w:val="17"/>
        </w:rPr>
        <w:t>No closure without audit export or archive reference.</w:t>
      </w:r>
    </w:p>
    <w:p>
      <w:pPr>
        <w:pStyle w:val="ListBullet"/>
      </w:pPr>
      <w:r>
        <w:rPr>
          <w:sz w:val="17"/>
        </w:rPr>
        <w:t>Under uncertainty, reduce scope or escalate review.</w:t>
      </w:r>
    </w:p>
    <w:p>
      <w:r>
        <w:br w:type="page"/>
      </w:r>
    </w:p>
    <w:p>
      <w:pPr>
        <w:pStyle w:val="Heading1"/>
      </w:pPr>
      <w:r>
        <w:t>10. Conformance Levels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0B1020"/>
          </w:tcPr>
          <w:p>
            <w:r/>
            <w:r>
              <w:rPr>
                <w:b/>
                <w:color w:val="FFD76A"/>
                <w:sz w:val="17"/>
              </w:rPr>
              <w:t>Level</w:t>
            </w:r>
          </w:p>
        </w:tc>
        <w:tc>
          <w:tcPr>
            <w:tcW w:type="dxa" w:w="5141"/>
            <w:shd w:fill="0B1020"/>
          </w:tcPr>
          <w:p>
            <w:r/>
            <w:r>
              <w:rPr>
                <w:b/>
                <w:color w:val="FFD76A"/>
                <w:sz w:val="17"/>
              </w:rPr>
              <w:t>Requirement</w:t>
            </w:r>
          </w:p>
        </w:tc>
      </w:tr>
      <w:tr>
        <w:tc>
          <w:tcPr>
            <w:tcW w:type="dxa" w:w="5141"/>
          </w:tcPr>
          <w:p>
            <w:r>
              <w:rPr>
                <w:sz w:val="16"/>
              </w:rPr>
              <w:t>Level 0</w:t>
            </w:r>
          </w:p>
        </w:tc>
        <w:tc>
          <w:tcPr>
            <w:tcW w:type="dxa" w:w="5141"/>
          </w:tcPr>
          <w:p>
            <w:r>
              <w:rPr>
                <w:sz w:val="16"/>
              </w:rPr>
              <w:t>Informal Proof Room.</w:t>
            </w:r>
          </w:p>
        </w:tc>
      </w:tr>
      <w:tr>
        <w:tc>
          <w:tcPr>
            <w:tcW w:type="dxa" w:w="5141"/>
          </w:tcPr>
          <w:p>
            <w:r>
              <w:rPr>
                <w:sz w:val="16"/>
              </w:rPr>
              <w:t>Level 1</w:t>
            </w:r>
          </w:p>
        </w:tc>
        <w:tc>
          <w:tcPr>
            <w:tcW w:type="dxa" w:w="5141"/>
          </w:tcPr>
          <w:p>
            <w:r>
              <w:rPr>
                <w:sz w:val="16"/>
              </w:rPr>
              <w:t>Basic room with manifest, charter, scope, roles, boundary, work item registry.</w:t>
            </w:r>
          </w:p>
        </w:tc>
      </w:tr>
      <w:tr>
        <w:tc>
          <w:tcPr>
            <w:tcW w:type="dxa" w:w="5141"/>
          </w:tcPr>
          <w:p>
            <w:r>
              <w:rPr>
                <w:sz w:val="16"/>
              </w:rPr>
              <w:t>Level 2</w:t>
            </w:r>
          </w:p>
        </w:tc>
        <w:tc>
          <w:tcPr>
            <w:tcW w:type="dxa" w:w="5141"/>
          </w:tcPr>
          <w:p>
            <w:r>
              <w:rPr>
                <w:sz w:val="16"/>
              </w:rPr>
              <w:t>Operational room with docket, packet, permission, and decision registers.</w:t>
            </w:r>
          </w:p>
        </w:tc>
      </w:tr>
      <w:tr>
        <w:tc>
          <w:tcPr>
            <w:tcW w:type="dxa" w:w="5141"/>
          </w:tcPr>
          <w:p>
            <w:r>
              <w:rPr>
                <w:sz w:val="16"/>
              </w:rPr>
              <w:t>Level 3</w:t>
            </w:r>
          </w:p>
        </w:tc>
        <w:tc>
          <w:tcPr>
            <w:tcW w:type="dxa" w:w="5141"/>
          </w:tcPr>
          <w:p>
            <w:r>
              <w:rPr>
                <w:sz w:val="16"/>
              </w:rPr>
              <w:t>Institutional room with gates, rollback, public reports, separation of duties, audit, closure.</w:t>
            </w:r>
          </w:p>
        </w:tc>
      </w:tr>
      <w:tr>
        <w:tc>
          <w:tcPr>
            <w:tcW w:type="dxa" w:w="5141"/>
          </w:tcPr>
          <w:p>
            <w:r>
              <w:rPr>
                <w:sz w:val="16"/>
              </w:rPr>
              <w:t>Level 4</w:t>
            </w:r>
          </w:p>
        </w:tc>
        <w:tc>
          <w:tcPr>
            <w:tcW w:type="dxa" w:w="5141"/>
          </w:tcPr>
          <w:p>
            <w:r>
              <w:rPr>
                <w:sz w:val="16"/>
              </w:rPr>
              <w:t>Regulated room with protected boundary, retention, jurisdiction, approvers, independent review.</w:t>
            </w:r>
          </w:p>
        </w:tc>
      </w:tr>
      <w:tr>
        <w:tc>
          <w:tcPr>
            <w:tcW w:type="dxa" w:w="5141"/>
          </w:tcPr>
          <w:p>
            <w:r>
              <w:rPr>
                <w:sz w:val="16"/>
              </w:rPr>
              <w:t>Level 5</w:t>
            </w:r>
          </w:p>
        </w:tc>
        <w:tc>
          <w:tcPr>
            <w:tcW w:type="dxa" w:w="5141"/>
          </w:tcPr>
          <w:p>
            <w:r>
              <w:rPr>
                <w:sz w:val="16"/>
              </w:rPr>
              <w:t>Sovereign room with sovereign jurisdiction, protected controls, public-institution roles, policy traceability, archive requirements.</w:t>
            </w:r>
          </w:p>
        </w:tc>
      </w:tr>
    </w:tbl>
    <w:p>
      <w:pPr>
        <w:pStyle w:val="Heading1"/>
      </w:pPr>
      <w:r>
        <w:t>11. Claim Boundary</w:t>
      </w:r>
    </w:p>
    <w:p>
      <w:r>
        <w:t>AEP-008 does not claim achieved AGI, achieved ASI, perfect safety, legal compliance certification, financial or legal advice, guaranteed ROI, production readiness, government endorsement, or national-security readiness. AEP-008 defines an operating standard for Proof Rooms.</w:t>
      </w:r>
    </w:p>
    <w:p>
      <w:pPr>
        <w:jc w:val="center"/>
      </w:pPr>
      <w:r>
        <w:rPr>
          <w:b/>
          <w:color w:val="B78A00"/>
          <w:sz w:val="26"/>
        </w:rPr>
        <w:t>GoalOS turns machine work into governed, reviewable, recoverable, and public-safe institutional proof.</w:t>
      </w:r>
    </w:p>
    <w:sectPr w:rsidR="00FC693F" w:rsidRPr="0006063C" w:rsidSect="00034616">
      <w:pgSz w:w="12240" w:h="15840"/>
      <w:pgMar w:top="893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