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78A00"/>
          <w:sz w:val="44"/>
        </w:rPr>
        <w:t>AEP-004</w:t>
      </w:r>
    </w:p>
    <w:p>
      <w:pPr>
        <w:jc w:val="center"/>
      </w:pPr>
      <w:r>
        <w:rPr>
          <w:b/>
          <w:color w:val="0B1020"/>
          <w:sz w:val="60"/>
        </w:rPr>
        <w:t>Selection Gate Standard</w:t>
      </w:r>
    </w:p>
    <w:p>
      <w:pPr>
        <w:jc w:val="center"/>
      </w:pPr>
      <w:r>
        <w:rPr>
          <w:color w:val="46536E"/>
          <w:sz w:val="28"/>
        </w:rPr>
        <w:t>Promote only what proved itself</w:t>
      </w:r>
    </w:p>
    <w:p>
      <w:pPr>
        <w:jc w:val="center"/>
      </w:pPr>
      <w:r>
        <w:rPr>
          <w:color w:val="46536E"/>
          <w:sz w:val="21"/>
        </w:rPr>
        <w:t>Version 1.1 Institutional Edition · Proof Gradient / Agent Evolution Protocol</w:t>
      </w:r>
    </w:p>
    <w:p>
      <w:pPr>
        <w:pStyle w:val="Heading1"/>
      </w:pPr>
      <w:r>
        <w:t>Purpose</w:t>
      </w:r>
    </w:p>
    <w:p>
      <w:r>
        <w:t>AEP-004 defines the Selection Gate: the propagation boundary that decides whether a candidate artifact, workflow, policy, tool, evaluation, context recipe, model route, agent behavior, or capability may be promoted, canaried, revised, rejected, archived, rolled back, or held for more evidence.</w:t>
      </w:r>
    </w:p>
    <w:p>
      <w:pPr>
        <w:pStyle w:val="Heading1"/>
      </w:pPr>
      <w:r>
        <w:t>Canonical Law</w:t>
      </w:r>
    </w:p>
    <w:p>
      <w:pPr>
        <w:pStyle w:val="ListBullet"/>
      </w:pPr>
      <w:r>
        <w:rPr>
          <w:sz w:val="18"/>
        </w:rPr>
        <w:t>No proof, no evolution.</w:t>
      </w:r>
    </w:p>
    <w:p>
      <w:pPr>
        <w:pStyle w:val="ListBullet"/>
      </w:pPr>
      <w:r>
        <w:rPr>
          <w:sz w:val="18"/>
        </w:rPr>
        <w:t>No eval, no propagation.</w:t>
      </w:r>
    </w:p>
    <w:p>
      <w:pPr>
        <w:pStyle w:val="ListBullet"/>
      </w:pPr>
      <w:r>
        <w:rPr>
          <w:sz w:val="18"/>
        </w:rPr>
        <w:t>No rollback, no release.</w:t>
      </w:r>
    </w:p>
    <w:p>
      <w:pPr>
        <w:pStyle w:val="Heading1"/>
      </w:pPr>
      <w:r>
        <w:t>Gate Decisions</w:t>
      </w:r>
    </w:p>
    <w:p>
      <w:pPr>
        <w:pStyle w:val="ListBullet"/>
      </w:pPr>
      <w:r>
        <w:rPr>
          <w:sz w:val="18"/>
        </w:rPr>
        <w:t>promote</w:t>
      </w:r>
    </w:p>
    <w:p>
      <w:pPr>
        <w:pStyle w:val="ListBullet"/>
      </w:pPr>
      <w:r>
        <w:rPr>
          <w:sz w:val="18"/>
        </w:rPr>
        <w:t>approve_canary</w:t>
      </w:r>
    </w:p>
    <w:p>
      <w:pPr>
        <w:pStyle w:val="ListBullet"/>
      </w:pPr>
      <w:r>
        <w:rPr>
          <w:sz w:val="18"/>
        </w:rPr>
        <w:t>revise</w:t>
      </w:r>
    </w:p>
    <w:p>
      <w:pPr>
        <w:pStyle w:val="ListBullet"/>
      </w:pPr>
      <w:r>
        <w:rPr>
          <w:sz w:val="18"/>
        </w:rPr>
        <w:t>reject</w:t>
      </w:r>
    </w:p>
    <w:p>
      <w:pPr>
        <w:pStyle w:val="ListBullet"/>
      </w:pPr>
      <w:r>
        <w:rPr>
          <w:sz w:val="18"/>
        </w:rPr>
        <w:t>archive</w:t>
      </w:r>
    </w:p>
    <w:p>
      <w:pPr>
        <w:pStyle w:val="ListBullet"/>
      </w:pPr>
      <w:r>
        <w:rPr>
          <w:sz w:val="18"/>
        </w:rPr>
        <w:t>rollback</w:t>
      </w:r>
    </w:p>
    <w:p>
      <w:pPr>
        <w:pStyle w:val="ListBullet"/>
      </w:pPr>
      <w:r>
        <w:rPr>
          <w:sz w:val="18"/>
        </w:rPr>
        <w:t>needs_more_evidence</w:t>
      </w:r>
    </w:p>
    <w:p>
      <w:pPr>
        <w:pStyle w:val="Heading1"/>
      </w:pPr>
      <w:r>
        <w:t>What the Gate Checks</w:t>
      </w:r>
    </w:p>
    <w:p>
      <w:pPr>
        <w:pStyle w:val="ListBullet"/>
      </w:pPr>
      <w:r>
        <w:rPr>
          <w:sz w:val="18"/>
        </w:rPr>
        <w:t>Evidence sufficiency</w:t>
      </w:r>
    </w:p>
    <w:p>
      <w:pPr>
        <w:pStyle w:val="ListBullet"/>
      </w:pPr>
      <w:r>
        <w:rPr>
          <w:sz w:val="18"/>
        </w:rPr>
        <w:t>Evaluation sufficiency</w:t>
      </w:r>
    </w:p>
    <w:p>
      <w:pPr>
        <w:pStyle w:val="ListBullet"/>
      </w:pPr>
      <w:r>
        <w:rPr>
          <w:sz w:val="18"/>
        </w:rPr>
        <w:t>Policy sufficiency</w:t>
      </w:r>
    </w:p>
    <w:p>
      <w:pPr>
        <w:pStyle w:val="ListBullet"/>
      </w:pPr>
      <w:r>
        <w:rPr>
          <w:sz w:val="18"/>
        </w:rPr>
        <w:t>Risk sufficiency</w:t>
      </w:r>
    </w:p>
    <w:p>
      <w:pPr>
        <w:pStyle w:val="ListBullet"/>
      </w:pPr>
      <w:r>
        <w:rPr>
          <w:sz w:val="18"/>
        </w:rPr>
        <w:t>Cost and latency sufficiency</w:t>
      </w:r>
    </w:p>
    <w:p>
      <w:pPr>
        <w:pStyle w:val="ListBullet"/>
      </w:pPr>
      <w:r>
        <w:rPr>
          <w:sz w:val="18"/>
        </w:rPr>
        <w:t>Approval sufficiency</w:t>
      </w:r>
    </w:p>
    <w:p>
      <w:pPr>
        <w:pStyle w:val="ListBullet"/>
      </w:pPr>
      <w:r>
        <w:rPr>
          <w:sz w:val="18"/>
        </w:rPr>
        <w:t>Challenge sufficiency</w:t>
      </w:r>
    </w:p>
    <w:p>
      <w:pPr>
        <w:pStyle w:val="ListBullet"/>
      </w:pPr>
      <w:r>
        <w:rPr>
          <w:sz w:val="18"/>
        </w:rPr>
        <w:t>Rollout sufficiency</w:t>
      </w:r>
    </w:p>
    <w:p>
      <w:pPr>
        <w:pStyle w:val="ListBullet"/>
      </w:pPr>
      <w:r>
        <w:rPr>
          <w:sz w:val="18"/>
        </w:rPr>
        <w:t>Rollback sufficiency</w:t>
      </w:r>
    </w:p>
    <w:p>
      <w:pPr>
        <w:pStyle w:val="ListBullet"/>
      </w:pPr>
      <w:r>
        <w:rPr>
          <w:sz w:val="18"/>
        </w:rPr>
        <w:t>Claim-boundary sufficiency</w:t>
      </w:r>
    </w:p>
    <w:p>
      <w:pPr>
        <w:pStyle w:val="Heading1"/>
      </w:pPr>
      <w:r>
        <w:t>Public Line</w:t>
      </w:r>
    </w:p>
    <w:p>
      <w:r>
        <w:t>AEP-001 defines the protocol. AEP-002 defines the docket. AEP-003 defines the packet. AEP-004 defines the gate. GoalOS promotes only what proved itself.</w:t>
      </w:r>
    </w:p>
    <w:sectPr w:rsidR="00FC693F" w:rsidRPr="0006063C" w:rsidSect="00034616"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