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AEP-003</w:t>
      </w:r>
    </w:p>
    <w:p>
      <w:pPr>
        <w:jc w:val="center"/>
      </w:pPr>
      <w:r>
        <w:rPr>
          <w:b/>
          <w:color w:val="0B1020"/>
          <w:sz w:val="60"/>
        </w:rPr>
        <w:t>ProofPacket Schema</w:t>
      </w:r>
    </w:p>
    <w:p>
      <w:pPr>
        <w:jc w:val="center"/>
      </w:pPr>
      <w:r>
        <w:rPr>
          <w:color w:val="46536E"/>
          <w:sz w:val="28"/>
        </w:rPr>
        <w:t>Atomic proof units for machine work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pStyle w:val="Heading1"/>
      </w:pPr>
      <w:r>
        <w:t>Purpose</w:t>
      </w:r>
    </w:p>
    <w:p>
      <w:r>
        <w:t>AEP-003 defines the ProofPacket: the atomic evidence unit emitted by an AI-agent run, machine-work step, tool call, evaluation, policy decision, selection decision, rollout event, rollback event, or public-safe report event.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8"/>
        </w:rPr>
        <w:t>No proof, no evolution.</w:t>
      </w:r>
    </w:p>
    <w:p>
      <w:pPr>
        <w:pStyle w:val="ListBullet"/>
      </w:pPr>
      <w:r>
        <w:rPr>
          <w:sz w:val="18"/>
        </w:rPr>
        <w:t>No eval, no propagation.</w:t>
      </w:r>
    </w:p>
    <w:p>
      <w:pPr>
        <w:pStyle w:val="ListBullet"/>
      </w:pPr>
      <w:r>
        <w:rPr>
          <w:sz w:val="18"/>
        </w:rPr>
        <w:t>No rollback, no release.</w:t>
      </w:r>
    </w:p>
    <w:p>
      <w:pPr>
        <w:pStyle w:val="Heading1"/>
      </w:pPr>
      <w:r>
        <w:t>Required Fields</w:t>
      </w:r>
    </w:p>
    <w:p>
      <w:pPr>
        <w:pStyle w:val="ListBullet"/>
      </w:pPr>
      <w:r>
        <w:rPr>
          <w:sz w:val="18"/>
        </w:rPr>
        <w:t>packet_id</w:t>
      </w:r>
    </w:p>
    <w:p>
      <w:pPr>
        <w:pStyle w:val="ListBullet"/>
      </w:pPr>
      <w:r>
        <w:rPr>
          <w:sz w:val="18"/>
        </w:rPr>
        <w:t>schema</w:t>
      </w:r>
    </w:p>
    <w:p>
      <w:pPr>
        <w:pStyle w:val="ListBullet"/>
      </w:pPr>
      <w:r>
        <w:rPr>
          <w:sz w:val="18"/>
        </w:rPr>
        <w:t>schema_version</w:t>
      </w:r>
    </w:p>
    <w:p>
      <w:pPr>
        <w:pStyle w:val="ListBullet"/>
      </w:pPr>
      <w:r>
        <w:rPr>
          <w:sz w:val="18"/>
        </w:rPr>
        <w:t>packet_type</w:t>
      </w:r>
    </w:p>
    <w:p>
      <w:pPr>
        <w:pStyle w:val="ListBullet"/>
      </w:pPr>
      <w:r>
        <w:rPr>
          <w:sz w:val="18"/>
        </w:rPr>
        <w:t>created_at</w:t>
      </w:r>
    </w:p>
    <w:p>
      <w:pPr>
        <w:pStyle w:val="ListBullet"/>
      </w:pPr>
      <w:r>
        <w:rPr>
          <w:sz w:val="18"/>
        </w:rPr>
        <w:t>producer</w:t>
      </w:r>
    </w:p>
    <w:p>
      <w:pPr>
        <w:pStyle w:val="ListBullet"/>
      </w:pPr>
      <w:r>
        <w:rPr>
          <w:sz w:val="18"/>
        </w:rPr>
        <w:t>docket_id</w:t>
      </w:r>
    </w:p>
    <w:p>
      <w:pPr>
        <w:pStyle w:val="ListBullet"/>
      </w:pPr>
      <w:r>
        <w:rPr>
          <w:sz w:val="18"/>
        </w:rPr>
        <w:t>commitment_id</w:t>
      </w:r>
    </w:p>
    <w:p>
      <w:pPr>
        <w:pStyle w:val="ListBullet"/>
      </w:pPr>
      <w:r>
        <w:rPr>
          <w:sz w:val="18"/>
        </w:rPr>
        <w:t>run_id</w:t>
      </w:r>
    </w:p>
    <w:p>
      <w:pPr>
        <w:pStyle w:val="ListBullet"/>
      </w:pPr>
      <w:r>
        <w:rPr>
          <w:sz w:val="18"/>
        </w:rPr>
        <w:t>claim_refs</w:t>
      </w:r>
    </w:p>
    <w:p>
      <w:pPr>
        <w:pStyle w:val="ListBullet"/>
      </w:pPr>
      <w:r>
        <w:rPr>
          <w:sz w:val="18"/>
        </w:rPr>
        <w:t>evidence_refs</w:t>
      </w:r>
    </w:p>
    <w:p>
      <w:pPr>
        <w:pStyle w:val="ListBullet"/>
      </w:pPr>
      <w:r>
        <w:rPr>
          <w:sz w:val="18"/>
        </w:rPr>
        <w:t>boundary</w:t>
      </w:r>
    </w:p>
    <w:p>
      <w:pPr>
        <w:pStyle w:val="ListBullet"/>
      </w:pPr>
      <w:r>
        <w:rPr>
          <w:sz w:val="18"/>
        </w:rPr>
        <w:t>payload</w:t>
      </w:r>
    </w:p>
    <w:p>
      <w:pPr>
        <w:pStyle w:val="ListBullet"/>
      </w:pPr>
      <w:r>
        <w:rPr>
          <w:sz w:val="18"/>
        </w:rPr>
        <w:t>hash</w:t>
      </w:r>
    </w:p>
    <w:p>
      <w:pPr>
        <w:pStyle w:val="ListBullet"/>
      </w:pPr>
      <w:r>
        <w:rPr>
          <w:sz w:val="18"/>
        </w:rPr>
        <w:t>claim_boundary</w:t>
      </w:r>
    </w:p>
    <w:p>
      <w:pPr>
        <w:pStyle w:val="Heading1"/>
      </w:pPr>
      <w:r>
        <w:t>Packet Types</w:t>
      </w:r>
    </w:p>
    <w:p>
      <w:r>
        <w:t>commit, trace_event, tool_call, policy_decision, approval, eval_result, evidence_ref, risk_event, cost_event, selection_decision, rollout_event, rollback_event, public_report.</w:t>
      </w:r>
    </w:p>
    <w:p>
      <w:pPr>
        <w:pStyle w:val="Heading1"/>
      </w:pPr>
      <w:r>
        <w:t>Public Line</w:t>
      </w:r>
    </w:p>
    <w:p>
      <w:r>
        <w:t>AEP-001 defines the protocol. AEP-002 defines the docket. AEP-003 defines the packet. GoalOS makes machine work provable one packet at a time.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