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AEP-002</w:t>
      </w:r>
    </w:p>
    <w:p>
      <w:pPr>
        <w:jc w:val="center"/>
      </w:pPr>
      <w:r>
        <w:rPr>
          <w:b/>
          <w:color w:val="0B1020"/>
          <w:sz w:val="60"/>
        </w:rPr>
        <w:t>Evidence Docket Standard</w:t>
      </w:r>
    </w:p>
    <w:p>
      <w:pPr>
        <w:jc w:val="center"/>
      </w:pPr>
      <w:r>
        <w:rPr>
          <w:color w:val="46536E"/>
          <w:sz w:val="26"/>
        </w:rPr>
        <w:t>Institutional Edition v1.1 · The portable proof package for machine work</w:t>
      </w:r>
    </w:p>
    <w:p>
      <w:pPr>
        <w:jc w:val="center"/>
      </w:pPr>
      <w:r>
        <w:rPr>
          <w:color w:val="46536E"/>
          <w:sz w:val="21"/>
        </w:rPr>
        <w:t>Vincent Boucher · QUEBEC.AI &amp; MONTREAL.AI · 2026-06-05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14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ep002_docket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1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1020"/>
          <w:sz w:val="27"/>
        </w:rPr>
        <w:t>A model can answer. An agent can act. An institution must prove.</w:t>
      </w:r>
    </w:p>
    <w:p>
      <w:pPr>
        <w:jc w:val="center"/>
      </w:pPr>
      <w:r>
        <w:rPr>
          <w:b/>
          <w:color w:val="B78A00"/>
          <w:sz w:val="26"/>
        </w:rPr>
        <w:t>AEP-002 makes the proof portable.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AEP-002 defines the Evidence Docket: the standard proof package for AI-agent work, machine work, governed AI-assisted workflows, institutional AI adoption, Proof Rooms, and Agent Control Planes.</w:t>
      </w:r>
    </w:p>
    <w:p>
      <w:r>
        <w:t>AEP-001 defines the constitutional loop: Commit → Execute → Prove → Evolve. AEP-002 defines the portable proof object that makes the loop operational.</w:t>
      </w:r>
    </w:p>
    <w:p>
      <w:pPr>
        <w:pBdr>
          <w:bottom w:val="single" w:sz="8" w:space="1" w:color="D0D7E2"/>
        </w:pBdr>
      </w:pPr>
    </w:p>
    <w:p>
      <w:pPr>
        <w:pStyle w:val="Heading1"/>
      </w:pPr>
      <w:r>
        <w:t>2. Canonical Law</w:t>
      </w:r>
    </w:p>
    <w:p>
      <w:r>
        <w:rPr>
          <w:b/>
          <w:color w:val="0B1020"/>
          <w:sz w:val="32"/>
        </w:rPr>
        <w:t>No proof, no evolution.</w:t>
      </w:r>
    </w:p>
    <w:p>
      <w:r>
        <w:rPr>
          <w:b/>
          <w:color w:val="0B1020"/>
          <w:sz w:val="32"/>
        </w:rPr>
        <w:t>No eval, no propagation.</w:t>
      </w:r>
    </w:p>
    <w:p>
      <w:r>
        <w:rPr>
          <w:b/>
          <w:color w:val="0B1020"/>
          <w:sz w:val="32"/>
        </w:rPr>
        <w:t>No rollback, no release.</w:t>
      </w:r>
    </w:p>
    <w:p>
      <w:pPr>
        <w:pStyle w:val="Heading1"/>
      </w:pPr>
      <w:r>
        <w:t>3. What an Evidence Docket Answers</w:t>
      </w:r>
    </w:p>
    <w:p>
      <w:pPr>
        <w:pStyle w:val="ListBullet"/>
      </w:pPr>
      <w:r>
        <w:t>What was the machine asked to do?</w:t>
      </w:r>
    </w:p>
    <w:p>
      <w:pPr>
        <w:pStyle w:val="ListBullet"/>
      </w:pPr>
      <w:r>
        <w:t>Who or what authorized it?</w:t>
      </w:r>
    </w:p>
    <w:p>
      <w:pPr>
        <w:pStyle w:val="ListBullet"/>
      </w:pPr>
      <w:r>
        <w:t>What context, tools, policies, and constraints were in scope?</w:t>
      </w:r>
    </w:p>
    <w:p>
      <w:pPr>
        <w:pStyle w:val="ListBullet"/>
      </w:pPr>
      <w:r>
        <w:t>What happened?</w:t>
      </w:r>
    </w:p>
    <w:p>
      <w:pPr>
        <w:pStyle w:val="ListBullet"/>
      </w:pPr>
      <w:r>
        <w:t>What evidence exists?</w:t>
      </w:r>
    </w:p>
    <w:p>
      <w:pPr>
        <w:pStyle w:val="ListBullet"/>
      </w:pPr>
      <w:r>
        <w:t>Which checks or evals passed?</w:t>
      </w:r>
    </w:p>
    <w:p>
      <w:pPr>
        <w:pStyle w:val="ListBullet"/>
      </w:pPr>
      <w:r>
        <w:t>What failed or remains uncertain?</w:t>
      </w:r>
    </w:p>
    <w:p>
      <w:pPr>
        <w:pStyle w:val="ListBullet"/>
      </w:pPr>
      <w:r>
        <w:t>What can honestly be claimed?</w:t>
      </w:r>
    </w:p>
    <w:p>
      <w:pPr>
        <w:pStyle w:val="ListBullet"/>
      </w:pPr>
      <w:r>
        <w:t>What may be reused or promoted?</w:t>
      </w:r>
    </w:p>
    <w:p>
      <w:pPr>
        <w:pStyle w:val="ListBullet"/>
      </w:pPr>
      <w:r>
        <w:t>What can be rolled back?</w:t>
      </w:r>
    </w:p>
    <w:p>
      <w:pPr>
        <w:pStyle w:val="Heading1"/>
      </w:pPr>
      <w:r>
        <w:t>4. Relationship to AEP-001</w:t>
      </w:r>
    </w:p>
    <w:p>
      <w:r>
        <w:t>AEP-001 defines the constitutional architecture: Artifact Vault, Run Fabric, Proof Ledger, and Selection Gate. AEP-002 defines the evidence object produced and consumed by that architecture.</w:t>
      </w:r>
    </w:p>
    <w:p>
      <w:pPr>
        <w:pStyle w:val="Heading1"/>
      </w:pPr>
      <w:r>
        <w:t>5. Core Object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020"/>
            <w:vAlign w:val="top"/>
          </w:tcPr>
          <w:p>
            <w:r/>
            <w:r>
              <w:rPr>
                <w:b/>
                <w:color w:val="FFD76A"/>
              </w:rPr>
              <w:t>Docket Section</w:t>
            </w:r>
          </w:p>
        </w:tc>
        <w:tc>
          <w:tcPr>
            <w:tcW w:type="dxa" w:w="5083"/>
            <w:shd w:fill="0B1020"/>
            <w:vAlign w:val="top"/>
          </w:tcPr>
          <w:p>
            <w:r/>
            <w:r>
              <w:rPr>
                <w:b/>
                <w:color w:val="FFD76A"/>
              </w:rPr>
              <w:t>Purpose</w:t>
            </w:r>
          </w:p>
        </w:tc>
      </w:tr>
      <w:tr>
        <w:tc>
          <w:tcPr>
            <w:tcW w:type="dxa" w:w="5083"/>
            <w:vAlign w:val="top"/>
          </w:tcPr>
          <w:p>
            <w:r>
              <w:t>Manifest</w:t>
            </w:r>
          </w:p>
        </w:tc>
        <w:tc>
          <w:tcPr>
            <w:tcW w:type="dxa" w:w="5083"/>
            <w:vAlign w:val="top"/>
          </w:tcPr>
          <w:p>
            <w:r>
              <w:t>Identifies the docket, owner, protocol, status, jurisdiction, and confidentiality class.</w:t>
            </w:r>
          </w:p>
        </w:tc>
      </w:tr>
      <w:tr>
        <w:tc>
          <w:tcPr>
            <w:tcW w:type="dxa" w:w="5083"/>
            <w:vAlign w:val="top"/>
          </w:tcPr>
          <w:p>
            <w:r>
              <w:t>Claims Matrix</w:t>
            </w:r>
          </w:p>
        </w:tc>
        <w:tc>
          <w:tcPr>
            <w:tcW w:type="dxa" w:w="5083"/>
            <w:vAlign w:val="top"/>
          </w:tcPr>
          <w:p>
            <w:r>
              <w:t>Separates supported claims, evidence, confidence, and what is not claimed.</w:t>
            </w:r>
          </w:p>
        </w:tc>
      </w:tr>
      <w:tr>
        <w:tc>
          <w:tcPr>
            <w:tcW w:type="dxa" w:w="5083"/>
            <w:vAlign w:val="top"/>
          </w:tcPr>
          <w:p>
            <w:r>
              <w:t>Commitment Record</w:t>
            </w:r>
          </w:p>
        </w:tc>
        <w:tc>
          <w:tcPr>
            <w:tcW w:type="dxa" w:w="5083"/>
            <w:vAlign w:val="top"/>
          </w:tcPr>
          <w:p>
            <w:r>
              <w:t>States goal, success criteria, constraints, risk, tools, evals, approvals, and rollback obligations.</w:t>
            </w:r>
          </w:p>
        </w:tc>
      </w:tr>
      <w:tr>
        <w:tc>
          <w:tcPr>
            <w:tcW w:type="dxa" w:w="5083"/>
            <w:vAlign w:val="top"/>
          </w:tcPr>
          <w:p>
            <w:r>
              <w:t>Execution Summary</w:t>
            </w:r>
          </w:p>
        </w:tc>
        <w:tc>
          <w:tcPr>
            <w:tcW w:type="dxa" w:w="5083"/>
            <w:vAlign w:val="top"/>
          </w:tcPr>
          <w:p>
            <w:r>
              <w:t>Records what happened without exposing restricted traces.</w:t>
            </w:r>
          </w:p>
        </w:tc>
      </w:tr>
      <w:tr>
        <w:tc>
          <w:tcPr>
            <w:tcW w:type="dxa" w:w="5083"/>
            <w:vAlign w:val="top"/>
          </w:tcPr>
          <w:p>
            <w:r>
              <w:t>Evidence Inventory</w:t>
            </w:r>
          </w:p>
        </w:tc>
        <w:tc>
          <w:tcPr>
            <w:tcW w:type="dxa" w:w="5083"/>
            <w:vAlign w:val="top"/>
          </w:tcPr>
          <w:p>
            <w:r>
              <w:t>Lists evidence IDs, types, locations, hashes, access classes, retention, and related claims.</w:t>
            </w:r>
          </w:p>
        </w:tc>
      </w:tr>
      <w:tr>
        <w:tc>
          <w:tcPr>
            <w:tcW w:type="dxa" w:w="5083"/>
            <w:vAlign w:val="top"/>
          </w:tcPr>
          <w:p>
            <w:r>
              <w:t>ProofPackets</w:t>
            </w:r>
          </w:p>
        </w:tc>
        <w:tc>
          <w:tcPr>
            <w:tcW w:type="dxa" w:w="5083"/>
            <w:vAlign w:val="top"/>
          </w:tcPr>
          <w:p>
            <w:r>
              <w:t>Atomic evidence units for claims, traces, evals, policy, risk, and outputs.</w:t>
            </w:r>
          </w:p>
        </w:tc>
      </w:tr>
      <w:tr>
        <w:tc>
          <w:tcPr>
            <w:tcW w:type="dxa" w:w="5083"/>
            <w:vAlign w:val="top"/>
          </w:tcPr>
          <w:p>
            <w:r>
              <w:t>Tool-Use Ledger</w:t>
            </w:r>
          </w:p>
        </w:tc>
        <w:tc>
          <w:tcPr>
            <w:tcW w:type="dxa" w:w="5083"/>
            <w:vAlign w:val="top"/>
          </w:tcPr>
          <w:p>
            <w:r>
              <w:t>Records tool calls, permissions, approvals, risk flags, and rollback possibility.</w:t>
            </w:r>
          </w:p>
        </w:tc>
      </w:tr>
      <w:tr>
        <w:tc>
          <w:tcPr>
            <w:tcW w:type="dxa" w:w="5083"/>
            <w:vAlign w:val="top"/>
          </w:tcPr>
          <w:p>
            <w:r>
              <w:t>Policy and Approval Ledger</w:t>
            </w:r>
          </w:p>
        </w:tc>
        <w:tc>
          <w:tcPr>
            <w:tcW w:type="dxa" w:w="5083"/>
            <w:vAlign w:val="top"/>
          </w:tcPr>
          <w:p>
            <w:r>
              <w:t>Records governance decisions, actors, reasons, timestamps, and escalations.</w:t>
            </w:r>
          </w:p>
        </w:tc>
      </w:tr>
      <w:tr>
        <w:tc>
          <w:tcPr>
            <w:tcW w:type="dxa" w:w="5083"/>
            <w:vAlign w:val="top"/>
          </w:tcPr>
          <w:p>
            <w:r>
              <w:t>Evaluation Results</w:t>
            </w:r>
          </w:p>
        </w:tc>
        <w:tc>
          <w:tcPr>
            <w:tcW w:type="dxa" w:w="5083"/>
            <w:vAlign w:val="top"/>
          </w:tcPr>
          <w:p>
            <w:r>
              <w:t>Records how the output was checked, scored, and limited.</w:t>
            </w:r>
          </w:p>
        </w:tc>
      </w:tr>
      <w:tr>
        <w:tc>
          <w:tcPr>
            <w:tcW w:type="dxa" w:w="5083"/>
            <w:vAlign w:val="top"/>
          </w:tcPr>
          <w:p>
            <w:r>
              <w:t>Cost and Latency Ledger</w:t>
            </w:r>
          </w:p>
        </w:tc>
        <w:tc>
          <w:tcPr>
            <w:tcW w:type="dxa" w:w="5083"/>
            <w:vAlign w:val="top"/>
          </w:tcPr>
          <w:p>
            <w:r>
              <w:t>Records efficiency, cost, latency, and human-review burden.</w:t>
            </w:r>
          </w:p>
        </w:tc>
      </w:tr>
      <w:tr>
        <w:tc>
          <w:tcPr>
            <w:tcW w:type="dxa" w:w="5083"/>
            <w:vAlign w:val="top"/>
          </w:tcPr>
          <w:p>
            <w:r>
              <w:t>Risk Ledger</w:t>
            </w:r>
          </w:p>
        </w:tc>
        <w:tc>
          <w:tcPr>
            <w:tcW w:type="dxa" w:w="5083"/>
            <w:vAlign w:val="top"/>
          </w:tcPr>
          <w:p>
            <w:r>
              <w:t>Records known risks, severity, mitigation, residual risk, owners, and status.</w:t>
            </w:r>
          </w:p>
        </w:tc>
      </w:tr>
      <w:tr>
        <w:tc>
          <w:tcPr>
            <w:tcW w:type="dxa" w:w="5083"/>
            <w:vAlign w:val="top"/>
          </w:tcPr>
          <w:p>
            <w:r>
              <w:t>Selection Certificate</w:t>
            </w:r>
          </w:p>
        </w:tc>
        <w:tc>
          <w:tcPr>
            <w:tcW w:type="dxa" w:w="5083"/>
            <w:vAlign w:val="top"/>
          </w:tcPr>
          <w:p>
            <w:r>
              <w:t>Records whether a capability may be promoted, canaried, rejected, revised, archived, or rolled back.</w:t>
            </w:r>
          </w:p>
        </w:tc>
      </w:tr>
      <w:tr>
        <w:tc>
          <w:tcPr>
            <w:tcW w:type="dxa" w:w="5083"/>
            <w:vAlign w:val="top"/>
          </w:tcPr>
          <w:p>
            <w:r>
              <w:t>Rollout / Canary Plan</w:t>
            </w:r>
          </w:p>
        </w:tc>
        <w:tc>
          <w:tcPr>
            <w:tcW w:type="dxa" w:w="5083"/>
            <w:vAlign w:val="top"/>
          </w:tcPr>
          <w:p>
            <w:r>
              <w:t>Defines scope, monitoring, stop conditions, escalation, and rollback trigger.</w:t>
            </w:r>
          </w:p>
        </w:tc>
      </w:tr>
      <w:tr>
        <w:tc>
          <w:tcPr>
            <w:tcW w:type="dxa" w:w="5083"/>
            <w:vAlign w:val="top"/>
          </w:tcPr>
          <w:p>
            <w:r>
              <w:t>Rollback Plan</w:t>
            </w:r>
          </w:p>
        </w:tc>
        <w:tc>
          <w:tcPr>
            <w:tcW w:type="dxa" w:w="5083"/>
            <w:vAlign w:val="top"/>
          </w:tcPr>
          <w:p>
            <w:r>
              <w:t>Explains how to undo or stop the capability.</w:t>
            </w:r>
          </w:p>
        </w:tc>
      </w:tr>
      <w:tr>
        <w:tc>
          <w:tcPr>
            <w:tcW w:type="dxa" w:w="5083"/>
            <w:vAlign w:val="top"/>
          </w:tcPr>
          <w:p>
            <w:r>
              <w:t>Public-Safe Report</w:t>
            </w:r>
          </w:p>
        </w:tc>
        <w:tc>
          <w:tcPr>
            <w:tcW w:type="dxa" w:w="5083"/>
            <w:vAlign w:val="top"/>
          </w:tcPr>
          <w:p>
            <w:r>
              <w:t>The shareable accountability layer.</w:t>
            </w:r>
          </w:p>
        </w:tc>
      </w:tr>
      <w:tr>
        <w:tc>
          <w:tcPr>
            <w:tcW w:type="dxa" w:w="5083"/>
            <w:vAlign w:val="top"/>
          </w:tcPr>
          <w:p>
            <w:r>
              <w:t>Private Appendix</w:t>
            </w:r>
          </w:p>
        </w:tc>
        <w:tc>
          <w:tcPr>
            <w:tcW w:type="dxa" w:w="5083"/>
            <w:vAlign w:val="top"/>
          </w:tcPr>
          <w:p>
            <w:r>
              <w:t>Restricted prompts, traces, logs, security notes, and protected details.</w:t>
            </w:r>
          </w:p>
        </w:tc>
      </w:tr>
      <w:tr>
        <w:tc>
          <w:tcPr>
            <w:tcW w:type="dxa" w:w="5083"/>
            <w:vAlign w:val="top"/>
          </w:tcPr>
          <w:p>
            <w:r>
              <w:t>Claim Boundary</w:t>
            </w:r>
          </w:p>
        </w:tc>
        <w:tc>
          <w:tcPr>
            <w:tcW w:type="dxa" w:w="5083"/>
            <w:vAlign w:val="top"/>
          </w:tcPr>
          <w:p>
            <w:r>
              <w:t>What is claimed, what is not claimed, and what remains private/protected.</w:t>
            </w:r>
          </w:p>
        </w:tc>
      </w:tr>
    </w:tbl>
    <w:p>
      <w:r>
        <w:br w:type="page"/>
      </w:r>
    </w:p>
    <w:p>
      <w:pPr>
        <w:pStyle w:val="Heading1"/>
      </w:pPr>
      <w:r>
        <w:t>6. Public / Private / Protected Evidence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vidence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020"/>
          </w:tcPr>
          <w:p>
            <w:r/>
            <w:r>
              <w:rPr>
                <w:b/>
                <w:color w:val="FFD76A"/>
              </w:rPr>
              <w:t>Class</w:t>
            </w:r>
          </w:p>
        </w:tc>
        <w:tc>
          <w:tcPr>
            <w:tcW w:type="dxa" w:w="3389"/>
            <w:shd w:fill="0B1020"/>
          </w:tcPr>
          <w:p>
            <w:r/>
            <w:r>
              <w:rPr>
                <w:b/>
                <w:color w:val="FFD76A"/>
              </w:rPr>
              <w:t>May include</w:t>
            </w:r>
          </w:p>
        </w:tc>
        <w:tc>
          <w:tcPr>
            <w:tcW w:type="dxa" w:w="3389"/>
            <w:shd w:fill="0B1020"/>
          </w:tcPr>
          <w:p>
            <w:r/>
            <w:r>
              <w:rPr>
                <w:b/>
                <w:color w:val="FFD76A"/>
              </w:rPr>
              <w:t>Publication rule</w:t>
            </w:r>
          </w:p>
        </w:tc>
      </w:tr>
      <w:tr>
        <w:tc>
          <w:tcPr>
            <w:tcW w:type="dxa" w:w="3389"/>
          </w:tcPr>
          <w:p>
            <w:r>
              <w:t>Public</w:t>
            </w:r>
          </w:p>
        </w:tc>
        <w:tc>
          <w:tcPr>
            <w:tcW w:type="dxa" w:w="3389"/>
          </w:tcPr>
          <w:p>
            <w:r>
              <w:t>High-level goals, evidence summaries, eval status, rollback status, public-safe reports.</w:t>
            </w:r>
          </w:p>
        </w:tc>
        <w:tc>
          <w:tcPr>
            <w:tcW w:type="dxa" w:w="3389"/>
          </w:tcPr>
          <w:p>
            <w:r>
              <w:t>May be shared externally after claim-boundary review.</w:t>
            </w:r>
          </w:p>
        </w:tc>
      </w:tr>
      <w:tr>
        <w:tc>
          <w:tcPr>
            <w:tcW w:type="dxa" w:w="3389"/>
          </w:tcPr>
          <w:p>
            <w:r>
              <w:t>Private</w:t>
            </w:r>
          </w:p>
        </w:tc>
        <w:tc>
          <w:tcPr>
            <w:tcW w:type="dxa" w:w="3389"/>
          </w:tcPr>
          <w:p>
            <w:r>
              <w:t>Prompts, traces, tool logs, review notes, operational cost details, internal artifact versions.</w:t>
            </w:r>
          </w:p>
        </w:tc>
        <w:tc>
          <w:tcPr>
            <w:tcW w:type="dxa" w:w="3389"/>
          </w:tcPr>
          <w:p>
            <w:r>
              <w:t>Internal only unless explicitly authorized.</w:t>
            </w:r>
          </w:p>
        </w:tc>
      </w:tr>
      <w:tr>
        <w:tc>
          <w:tcPr>
            <w:tcW w:type="dxa" w:w="3389"/>
          </w:tcPr>
          <w:p>
            <w:r>
              <w:t>Protected</w:t>
            </w:r>
          </w:p>
        </w:tc>
        <w:tc>
          <w:tcPr>
            <w:tcW w:type="dxa" w:w="3389"/>
          </w:tcPr>
          <w:p>
            <w:r>
              <w:t>Secrets, regulated data, critical infrastructure details, security vulnerabilities, privileged analysis.</w:t>
            </w:r>
          </w:p>
        </w:tc>
        <w:tc>
          <w:tcPr>
            <w:tcW w:type="dxa" w:w="3389"/>
          </w:tcPr>
          <w:p>
            <w:r>
              <w:t>Restricted to authorized roles and never published by default.</w:t>
            </w:r>
          </w:p>
        </w:tc>
      </w:tr>
    </w:tbl>
    <w:p>
      <w:pPr>
        <w:pStyle w:val="Heading1"/>
      </w:pPr>
      <w:r>
        <w:t>7.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ocket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Draft</w:t>
      </w:r>
    </w:p>
    <w:p>
      <w:pPr>
        <w:pStyle w:val="ListBullet"/>
      </w:pPr>
      <w:r>
        <w:t>Submitted</w:t>
      </w:r>
    </w:p>
    <w:p>
      <w:pPr>
        <w:pStyle w:val="ListBullet"/>
      </w:pPr>
      <w:r>
        <w:t>Under review</w:t>
      </w:r>
    </w:p>
    <w:p>
      <w:pPr>
        <w:pStyle w:val="ListBullet"/>
      </w:pPr>
      <w:r>
        <w:t>Evidence accepted</w:t>
      </w:r>
    </w:p>
    <w:p>
      <w:pPr>
        <w:pStyle w:val="ListBullet"/>
      </w:pPr>
      <w:r>
        <w:t>Selection decision issued</w:t>
      </w:r>
    </w:p>
    <w:p>
      <w:pPr>
        <w:pStyle w:val="ListBullet"/>
      </w:pPr>
      <w:r>
        <w:t>Canary / monitor</w:t>
      </w:r>
    </w:p>
    <w:p>
      <w:pPr>
        <w:pStyle w:val="ListBullet"/>
      </w:pPr>
      <w:r>
        <w:t>Promoted / rejected / revised / rolled back</w:t>
      </w:r>
    </w:p>
    <w:p>
      <w:pPr>
        <w:pStyle w:val="ListBullet"/>
      </w:pPr>
      <w:r>
        <w:t>Archived</w:t>
      </w:r>
    </w:p>
    <w:p>
      <w:pPr>
        <w:pStyle w:val="ListBullet"/>
      </w:pPr>
      <w:r>
        <w:t>Public-safe report published, if allowed</w:t>
      </w:r>
    </w:p>
    <w:p>
      <w:pPr>
        <w:pStyle w:val="Heading1"/>
      </w:pPr>
      <w:r>
        <w:t>8. Conformance Levels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020"/>
          </w:tcPr>
          <w:p>
            <w:r/>
            <w:r>
              <w:rPr>
                <w:b/>
                <w:color w:val="FFD76A"/>
              </w:rPr>
              <w:t>Level</w:t>
            </w:r>
          </w:p>
        </w:tc>
        <w:tc>
          <w:tcPr>
            <w:tcW w:type="dxa" w:w="5083"/>
            <w:shd w:fill="0B1020"/>
          </w:tcPr>
          <w:p>
            <w:r/>
            <w:r>
              <w:rPr>
                <w:b/>
                <w:color w:val="FFD76A"/>
              </w:rPr>
              <w:t>Requirement</w:t>
            </w:r>
          </w:p>
        </w:tc>
      </w:tr>
      <w:tr>
        <w:tc>
          <w:tcPr>
            <w:tcW w:type="dxa" w:w="5083"/>
          </w:tcPr>
          <w:p>
            <w:r>
              <w:t>Level 0</w:t>
            </w:r>
          </w:p>
        </w:tc>
        <w:tc>
          <w:tcPr>
            <w:tcW w:type="dxa" w:w="5083"/>
          </w:tcPr>
          <w:p>
            <w:r>
              <w:t>Informal proof page with goal, output, evidence, checks, and claim boundary.</w:t>
            </w:r>
          </w:p>
        </w:tc>
      </w:tr>
      <w:tr>
        <w:tc>
          <w:tcPr>
            <w:tcW w:type="dxa" w:w="5083"/>
          </w:tcPr>
          <w:p>
            <w:r>
              <w:t>Level 1</w:t>
            </w:r>
          </w:p>
        </w:tc>
        <w:tc>
          <w:tcPr>
            <w:tcW w:type="dxa" w:w="5083"/>
          </w:tcPr>
          <w:p>
            <w:r>
              <w:t>Basic Evidence Docket with minimum viable sections and at least one evaluation or explicit evaluation gap.</w:t>
            </w:r>
          </w:p>
        </w:tc>
      </w:tr>
      <w:tr>
        <w:tc>
          <w:tcPr>
            <w:tcW w:type="dxa" w:w="5083"/>
          </w:tcPr>
          <w:p>
            <w:r>
              <w:t>Level 2</w:t>
            </w:r>
          </w:p>
        </w:tc>
        <w:tc>
          <w:tcPr>
            <w:tcW w:type="dxa" w:w="5083"/>
          </w:tcPr>
          <w:p>
            <w:r>
              <w:t>Operational Evidence Docket with tool-use, policy, cost, risk, selection, and rollback records.</w:t>
            </w:r>
          </w:p>
        </w:tc>
      </w:tr>
      <w:tr>
        <w:tc>
          <w:tcPr>
            <w:tcW w:type="dxa" w:w="5083"/>
          </w:tcPr>
          <w:p>
            <w:r>
              <w:t>Level 3</w:t>
            </w:r>
          </w:p>
        </w:tc>
        <w:tc>
          <w:tcPr>
            <w:tcW w:type="dxa" w:w="5083"/>
          </w:tcPr>
          <w:p>
            <w:r>
              <w:t>Institutional Evidence Docket with Selection Certificate, canary plan, monitoring, rollback receipt, and audit export.</w:t>
            </w:r>
          </w:p>
        </w:tc>
      </w:tr>
      <w:tr>
        <w:tc>
          <w:tcPr>
            <w:tcW w:type="dxa" w:w="5083"/>
          </w:tcPr>
          <w:p>
            <w:r>
              <w:t>Level 4</w:t>
            </w:r>
          </w:p>
        </w:tc>
        <w:tc>
          <w:tcPr>
            <w:tcW w:type="dxa" w:w="5083"/>
          </w:tcPr>
          <w:p>
            <w:r>
              <w:t>Sovereign / regulated docket with public/private/protected classification, retention, jurisdiction, authorized boundary, evaluator attestations, and restricted appendix controls.</w:t>
            </w:r>
          </w:p>
        </w:tc>
      </w:tr>
    </w:tbl>
    <w:p>
      <w:pPr>
        <w:pStyle w:val="Heading1"/>
      </w:pPr>
      <w:r>
        <w:t>9. Implementation Guidance</w:t>
      </w:r>
    </w:p>
    <w:p>
      <w:pPr>
        <w:pStyle w:val="ListBullet"/>
      </w:pPr>
      <w:r>
        <w:t>Add a docket template.</w:t>
      </w:r>
    </w:p>
    <w:p>
      <w:pPr>
        <w:pStyle w:val="ListBullet"/>
      </w:pPr>
      <w:r>
        <w:t>Generate one docket per important AI workflow.</w:t>
      </w:r>
    </w:p>
    <w:p>
      <w:pPr>
        <w:pStyle w:val="ListBullet"/>
      </w:pPr>
      <w:r>
        <w:t>Record claims separately from evidence.</w:t>
      </w:r>
    </w:p>
    <w:p>
      <w:pPr>
        <w:pStyle w:val="ListBullet"/>
      </w:pPr>
      <w:r>
        <w:t>Store private evidence separately from public proof.</w:t>
      </w:r>
    </w:p>
    <w:p>
      <w:pPr>
        <w:pStyle w:val="ListBullet"/>
      </w:pPr>
      <w:r>
        <w:t>Run at least one eval.</w:t>
      </w:r>
    </w:p>
    <w:p>
      <w:pPr>
        <w:pStyle w:val="ListBullet"/>
      </w:pPr>
      <w:r>
        <w:t>Create a rollback plan.</w:t>
      </w:r>
    </w:p>
    <w:p>
      <w:pPr>
        <w:pStyle w:val="ListBullet"/>
      </w:pPr>
      <w:r>
        <w:t>Require Selection Gate review before propagation.</w:t>
      </w:r>
    </w:p>
    <w:p>
      <w:pPr>
        <w:pStyle w:val="ListBullet"/>
      </w:pPr>
      <w:r>
        <w:t>Publish a public-safe report only after claim-boundary review.</w:t>
      </w:r>
    </w:p>
    <w:p>
      <w:pPr>
        <w:pStyle w:val="Heading1"/>
      </w:pPr>
      <w:r>
        <w:t>10. Security and Privacy Requirements</w:t>
      </w:r>
    </w:p>
    <w:p>
      <w:pPr>
        <w:pStyle w:val="ListBullet"/>
      </w:pPr>
      <w:r>
        <w:t>Do not publish secrets.</w:t>
      </w:r>
    </w:p>
    <w:p>
      <w:pPr>
        <w:pStyle w:val="ListBullet"/>
      </w:pPr>
      <w:r>
        <w:t>Do not publish private prompts unless authorized.</w:t>
      </w:r>
    </w:p>
    <w:p>
      <w:pPr>
        <w:pStyle w:val="ListBullet"/>
      </w:pPr>
      <w:r>
        <w:t>Do not publish customer data unless authorized and safe.</w:t>
      </w:r>
    </w:p>
    <w:p>
      <w:pPr>
        <w:pStyle w:val="ListBullet"/>
      </w:pPr>
      <w:r>
        <w:t>Do not publish protected operational traces.</w:t>
      </w:r>
    </w:p>
    <w:p>
      <w:pPr>
        <w:pStyle w:val="ListBullet"/>
      </w:pPr>
      <w:r>
        <w:t>Do not publish critical infrastructure details.</w:t>
      </w:r>
    </w:p>
    <w:p>
      <w:pPr>
        <w:pStyle w:val="ListBullet"/>
      </w:pPr>
      <w:r>
        <w:t>Do not imply more than the evidence supports.</w:t>
      </w:r>
    </w:p>
    <w:p>
      <w:pPr>
        <w:pStyle w:val="Heading1"/>
      </w:pPr>
      <w:r>
        <w:t>11. Claim Boundary</w:t>
      </w:r>
    </w:p>
    <w:p>
      <w:r>
        <w:t>AEP-002 does not claim achieved AGI, achieved ASI, perfect safety, legal compliance certification, financial or legal advice, guaranteed ROI, production readiness, government endorsement, or national-security readiness. AEP-002 defines a proof package standard.</w:t>
      </w:r>
    </w:p>
    <w:p>
      <w:pPr>
        <w:jc w:val="center"/>
      </w:pPr>
      <w:r>
        <w:rPr>
          <w:b/>
          <w:color w:val="B78A00"/>
          <w:sz w:val="28"/>
        </w:rPr>
        <w:t>AEP-002 makes the proof portable.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