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4"/>
        </w:rPr>
        <w:t>AEP-002 — Evidence Docket Standard</w:t>
      </w:r>
    </w:p>
    <w:p>
      <w:pPr>
        <w:jc w:val="center"/>
      </w:pPr>
      <w:r>
        <w:rPr>
          <w:color w:val="46536E"/>
          <w:sz w:val="24"/>
        </w:rPr>
        <w:t>The portable proof package for machine work</w:t>
      </w:r>
    </w:p>
    <w:p>
      <w:pPr>
        <w:pBdr>
          <w:bottom w:val="single" w:sz="8" w:space="1" w:color="D0D7E2"/>
        </w:pBdr>
      </w:pPr>
    </w:p>
    <w:p>
      <w:pPr>
        <w:pStyle w:val="Heading1"/>
      </w:pPr>
      <w:r>
        <w:t>Purpose</w:t>
      </w:r>
    </w:p>
    <w:p>
      <w:r>
        <w:t>AEP-002 standardizes the Evidence Docket: the proof package that records commitments, claims, evidence, evals, policy decisions, risks, costs, Selection Certificates, rollout, rollback, and public-safe reports.</w:t>
      </w:r>
    </w:p>
    <w:p>
      <w:pPr>
        <w:pStyle w:val="Heading1"/>
      </w:pPr>
      <w:r>
        <w:t>Canonical Law</w:t>
      </w:r>
    </w:p>
    <w:p>
      <w:r>
        <w:rPr>
          <w:b/>
          <w:sz w:val="26"/>
        </w:rPr>
        <w:t>No proof, no evolution.</w:t>
      </w:r>
    </w:p>
    <w:p>
      <w:r>
        <w:rPr>
          <w:b/>
          <w:sz w:val="26"/>
        </w:rPr>
        <w:t>No eval, no propagation.</w:t>
      </w:r>
    </w:p>
    <w:p>
      <w:r>
        <w:rPr>
          <w:b/>
          <w:sz w:val="26"/>
        </w:rPr>
        <w:t>No rollback, no release.</w:t>
      </w:r>
    </w:p>
    <w:p>
      <w:pPr>
        <w:pStyle w:val="Heading1"/>
      </w:pPr>
      <w:r>
        <w:t>Minimum Docket</w:t>
      </w:r>
    </w:p>
    <w:p>
      <w:pPr>
        <w:pStyle w:val="ListBullet"/>
      </w:pPr>
      <w:r>
        <w:t>Manifest</w:t>
      </w:r>
    </w:p>
    <w:p>
      <w:pPr>
        <w:pStyle w:val="ListBullet"/>
      </w:pPr>
      <w:r>
        <w:t>Claims Matrix</w:t>
      </w:r>
    </w:p>
    <w:p>
      <w:pPr>
        <w:pStyle w:val="ListBullet"/>
      </w:pPr>
      <w:r>
        <w:t>Commitment Record</w:t>
      </w:r>
    </w:p>
    <w:p>
      <w:pPr>
        <w:pStyle w:val="ListBullet"/>
      </w:pPr>
      <w:r>
        <w:t>Execution Summary</w:t>
      </w:r>
    </w:p>
    <w:p>
      <w:pPr>
        <w:pStyle w:val="ListBullet"/>
      </w:pPr>
      <w:r>
        <w:t>Evidence Inventory</w:t>
      </w:r>
    </w:p>
    <w:p>
      <w:pPr>
        <w:pStyle w:val="ListBullet"/>
      </w:pPr>
      <w:r>
        <w:t>Evaluation Results</w:t>
      </w:r>
    </w:p>
    <w:p>
      <w:pPr>
        <w:pStyle w:val="ListBullet"/>
      </w:pPr>
      <w:r>
        <w:t>Risk Ledger</w:t>
      </w:r>
    </w:p>
    <w:p>
      <w:pPr>
        <w:pStyle w:val="ListBullet"/>
      </w:pPr>
      <w:r>
        <w:t>Selection Decision</w:t>
      </w:r>
    </w:p>
    <w:p>
      <w:pPr>
        <w:pStyle w:val="ListBullet"/>
      </w:pPr>
      <w:r>
        <w:t>Rollback Plan</w:t>
      </w:r>
    </w:p>
    <w:p>
      <w:pPr>
        <w:pStyle w:val="ListBullet"/>
      </w:pPr>
      <w:r>
        <w:t>Claim Boundary</w:t>
      </w:r>
    </w:p>
    <w:p>
      <w:pPr>
        <w:pStyle w:val="Heading1"/>
      </w:pPr>
      <w:r>
        <w:t>Conformance</w:t>
      </w:r>
    </w:p>
    <w:p>
      <w:pPr>
        <w:pStyle w:val="ListBullet"/>
      </w:pPr>
      <w:r>
        <w:t>Level 0 — Informal proof</w:t>
      </w:r>
    </w:p>
    <w:p>
      <w:pPr>
        <w:pStyle w:val="ListBullet"/>
      </w:pPr>
      <w:r>
        <w:t>Level 1 — Basic docket</w:t>
      </w:r>
    </w:p>
    <w:p>
      <w:pPr>
        <w:pStyle w:val="ListBullet"/>
      </w:pPr>
      <w:r>
        <w:t>Level 2 — Operational docket</w:t>
      </w:r>
    </w:p>
    <w:p>
      <w:pPr>
        <w:pStyle w:val="ListBullet"/>
      </w:pPr>
      <w:r>
        <w:t>Level 3 — Institutional docket</w:t>
      </w:r>
    </w:p>
    <w:p>
      <w:pPr>
        <w:pStyle w:val="ListBullet"/>
      </w:pPr>
      <w:r>
        <w:t>Level 4 — Sovereign / regulated docket</w:t>
      </w:r>
    </w:p>
    <w:p>
      <w:pPr>
        <w:pStyle w:val="Heading1"/>
      </w:pPr>
      <w:r>
        <w:t>Public Line</w:t>
      </w:r>
    </w:p>
    <w:p>
      <w:r>
        <w:t>A model can answer. An agent can act. An institution must prove. AEP-002 makes the proof portable.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