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78A00"/>
          <w:sz w:val="44"/>
        </w:rPr>
        <w:t>AEP-008</w:t>
      </w:r>
    </w:p>
    <w:p>
      <w:pPr>
        <w:jc w:val="center"/>
      </w:pPr>
      <w:r>
        <w:rPr>
          <w:b/>
          <w:color w:val="0B1020"/>
          <w:sz w:val="60"/>
        </w:rPr>
        <w:t>Proof Room Standard</w:t>
      </w:r>
    </w:p>
    <w:p>
      <w:pPr>
        <w:jc w:val="center"/>
      </w:pPr>
      <w:r>
        <w:rPr>
          <w:color w:val="46536E"/>
          <w:sz w:val="27"/>
        </w:rPr>
        <w:t>Governed workspaces for institutional machine-work proof</w:t>
      </w:r>
    </w:p>
    <w:p>
      <w:pPr>
        <w:jc w:val="center"/>
      </w:pPr>
      <w:r>
        <w:rPr>
          <w:color w:val="46536E"/>
          <w:sz w:val="21"/>
        </w:rPr>
        <w:t>Version 1.1 Institutional Edition · Proof Gradient / Agent Evolution Protocol</w:t>
      </w:r>
    </w:p>
    <w:p>
      <w:pPr>
        <w:pStyle w:val="Heading1"/>
      </w:pPr>
      <w:r>
        <w:t>Purpose</w:t>
      </w:r>
    </w:p>
    <w:p>
      <w:r>
        <w:t>AEP-008 defines the Proof Room: the governed workspace where machine work becomes institutional proof.</w:t>
      </w:r>
    </w:p>
    <w:p>
      <w:pPr>
        <w:pStyle w:val="Heading1"/>
      </w:pPr>
      <w:r>
        <w:t>Canonical Law</w:t>
      </w:r>
    </w:p>
    <w:p>
      <w:pPr>
        <w:pStyle w:val="ListBullet"/>
      </w:pPr>
      <w:r>
        <w:rPr>
          <w:sz w:val="16"/>
        </w:rPr>
        <w:t>No room without charter.</w:t>
      </w:r>
    </w:p>
    <w:p>
      <w:pPr>
        <w:pStyle w:val="ListBullet"/>
      </w:pPr>
      <w:r>
        <w:rPr>
          <w:sz w:val="16"/>
        </w:rPr>
        <w:t>No run without scope.</w:t>
      </w:r>
    </w:p>
    <w:p>
      <w:pPr>
        <w:pStyle w:val="ListBullet"/>
      </w:pPr>
      <w:r>
        <w:rPr>
          <w:sz w:val="16"/>
        </w:rPr>
        <w:t>No evidence without boundary.</w:t>
      </w:r>
    </w:p>
    <w:p>
      <w:pPr>
        <w:pStyle w:val="ListBullet"/>
      </w:pPr>
      <w:r>
        <w:rPr>
          <w:sz w:val="16"/>
        </w:rPr>
        <w:t>No promotion without gate.</w:t>
      </w:r>
    </w:p>
    <w:p>
      <w:pPr>
        <w:pStyle w:val="ListBullet"/>
      </w:pPr>
      <w:r>
        <w:rPr>
          <w:sz w:val="16"/>
        </w:rPr>
        <w:t>No tool without permission.</w:t>
      </w:r>
    </w:p>
    <w:p>
      <w:pPr>
        <w:pStyle w:val="ListBullet"/>
      </w:pPr>
      <w:r>
        <w:rPr>
          <w:sz w:val="16"/>
        </w:rPr>
        <w:t>No release without rollback.</w:t>
      </w:r>
    </w:p>
    <w:p>
      <w:pPr>
        <w:pStyle w:val="ListBullet"/>
      </w:pPr>
      <w:r>
        <w:rPr>
          <w:sz w:val="16"/>
        </w:rPr>
        <w:t>No public proof without redaction.</w:t>
      </w:r>
    </w:p>
    <w:p>
      <w:pPr>
        <w:pStyle w:val="ListBullet"/>
      </w:pPr>
      <w:r>
        <w:rPr>
          <w:sz w:val="16"/>
        </w:rPr>
        <w:t>No closure without archive.</w:t>
      </w:r>
    </w:p>
    <w:p>
      <w:pPr>
        <w:pStyle w:val="ListBullet"/>
      </w:pPr>
      <w:r>
        <w:rPr>
          <w:sz w:val="16"/>
        </w:rPr>
        <w:t>No proof, no evolution.</w:t>
      </w:r>
    </w:p>
    <w:p>
      <w:pPr>
        <w:pStyle w:val="Heading1"/>
      </w:pPr>
      <w:r>
        <w:t>Operating Modes</w:t>
      </w:r>
    </w:p>
    <w:p>
      <w:r>
        <w:t>sandbox · team · institutional · public_safe · incident · sovereign</w:t>
      </w:r>
    </w:p>
    <w:p>
      <w:pPr>
        <w:pStyle w:val="Heading1"/>
      </w:pPr>
      <w:r>
        <w:t>Core Objects</w:t>
      </w:r>
    </w:p>
    <w:p>
      <w:pPr>
        <w:pStyle w:val="ListBullet"/>
      </w:pPr>
      <w:r>
        <w:rPr>
          <w:sz w:val="15"/>
        </w:rPr>
        <w:t>Proof Room Manifest</w:t>
      </w:r>
    </w:p>
    <w:p>
      <w:pPr>
        <w:pStyle w:val="ListBullet"/>
      </w:pPr>
      <w:r>
        <w:rPr>
          <w:sz w:val="15"/>
        </w:rPr>
        <w:t>Proof Room Charter</w:t>
      </w:r>
    </w:p>
    <w:p>
      <w:pPr>
        <w:pStyle w:val="ListBullet"/>
      </w:pPr>
      <w:r>
        <w:rPr>
          <w:sz w:val="15"/>
        </w:rPr>
        <w:t>Scope Boundary</w:t>
      </w:r>
    </w:p>
    <w:p>
      <w:pPr>
        <w:pStyle w:val="ListBullet"/>
      </w:pPr>
      <w:r>
        <w:rPr>
          <w:sz w:val="15"/>
        </w:rPr>
        <w:t>Role Assignment Registry</w:t>
      </w:r>
    </w:p>
    <w:p>
      <w:pPr>
        <w:pStyle w:val="ListBullet"/>
      </w:pPr>
      <w:r>
        <w:rPr>
          <w:sz w:val="15"/>
        </w:rPr>
        <w:t>Evidence Boundary</w:t>
      </w:r>
    </w:p>
    <w:p>
      <w:pPr>
        <w:pStyle w:val="ListBullet"/>
      </w:pPr>
      <w:r>
        <w:rPr>
          <w:sz w:val="15"/>
        </w:rPr>
        <w:t>Work Item Registry</w:t>
      </w:r>
    </w:p>
    <w:p>
      <w:pPr>
        <w:pStyle w:val="ListBullet"/>
      </w:pPr>
      <w:r>
        <w:rPr>
          <w:sz w:val="15"/>
        </w:rPr>
        <w:t>Room Session Record</w:t>
      </w:r>
    </w:p>
    <w:p>
      <w:pPr>
        <w:pStyle w:val="ListBullet"/>
      </w:pPr>
      <w:r>
        <w:rPr>
          <w:sz w:val="15"/>
        </w:rPr>
        <w:t>Room Registers</w:t>
      </w:r>
    </w:p>
    <w:p>
      <w:pPr>
        <w:pStyle w:val="ListBullet"/>
      </w:pPr>
      <w:r>
        <w:rPr>
          <w:sz w:val="15"/>
        </w:rPr>
        <w:t>Decision Log</w:t>
      </w:r>
    </w:p>
    <w:p>
      <w:pPr>
        <w:pStyle w:val="ListBullet"/>
      </w:pPr>
      <w:r>
        <w:rPr>
          <w:sz w:val="15"/>
        </w:rPr>
        <w:t>Room Audit Export</w:t>
      </w:r>
    </w:p>
    <w:p>
      <w:pPr>
        <w:pStyle w:val="ListBullet"/>
      </w:pPr>
      <w:r>
        <w:rPr>
          <w:sz w:val="15"/>
        </w:rPr>
        <w:t>Room Closure Report</w:t>
      </w:r>
    </w:p>
    <w:p>
      <w:pPr>
        <w:pStyle w:val="Heading1"/>
      </w:pPr>
      <w:r>
        <w:t>Public Line</w:t>
      </w:r>
    </w:p>
    <w:p>
      <w:r>
        <w:t>GoalOS turns machine work into governed, reviewable, recoverable, and public-safe institutional proof.</w:t>
      </w:r>
    </w:p>
    <w:sectPr w:rsidR="00FC693F" w:rsidRPr="0006063C" w:rsidSect="00034616"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