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78A00"/>
          <w:sz w:val="44"/>
        </w:rPr>
        <w:t>AEP-003</w:t>
      </w:r>
    </w:p>
    <w:p>
      <w:pPr>
        <w:jc w:val="center"/>
      </w:pPr>
      <w:r>
        <w:rPr>
          <w:b/>
          <w:color w:val="0B1020"/>
          <w:sz w:val="60"/>
        </w:rPr>
        <w:t>ProofPacket Schema</w:t>
      </w:r>
    </w:p>
    <w:p>
      <w:pPr>
        <w:jc w:val="center"/>
      </w:pPr>
      <w:r>
        <w:rPr>
          <w:color w:val="46536E"/>
          <w:sz w:val="28"/>
        </w:rPr>
        <w:t>Atomic proof units for machine work</w:t>
      </w:r>
    </w:p>
    <w:p>
      <w:pPr>
        <w:jc w:val="center"/>
      </w:pPr>
      <w:r>
        <w:rPr>
          <w:color w:val="46536E"/>
          <w:sz w:val="21"/>
        </w:rPr>
        <w:t>Version 1.1 Institutional Edition · Proof Gradient / Agent Evolution Protocol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proofpacket_anatom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B78A00"/>
          <w:sz w:val="25"/>
        </w:rPr>
        <w:t>AEP-001 defines the protocol. AEP-002 defines the docket. AEP-003 defines the packet.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AEP-003 defines the ProofPacket: the atomic evidence unit emitted by an AI-agent run, machine-work step, tool call, evaluation, policy decision, selection decision, rollout event, rollback event, or public-safe report event.</w:t>
      </w:r>
    </w:p>
    <w:p>
      <w:r>
        <w:t>AEP-001 defines the constitutional protocol. AEP-002 defines the Evidence Docket. AEP-003 defines the packet-level schema that makes machine work traceable, portable, tamper-evident, and composable.</w:t>
      </w:r>
    </w:p>
    <w:p>
      <w:pPr>
        <w:pStyle w:val="Heading1"/>
      </w:pPr>
      <w:r>
        <w:t>2. Canonical Law</w:t>
      </w:r>
    </w:p>
    <w:p>
      <w:r>
        <w:rPr>
          <w:b/>
          <w:color w:val="0B1020"/>
          <w:sz w:val="30"/>
        </w:rPr>
        <w:t>No proof, no evolution.</w:t>
      </w:r>
    </w:p>
    <w:p>
      <w:r>
        <w:rPr>
          <w:b/>
          <w:color w:val="0B1020"/>
          <w:sz w:val="30"/>
        </w:rPr>
        <w:t>No eval, no propagation.</w:t>
      </w:r>
    </w:p>
    <w:p>
      <w:r>
        <w:rPr>
          <w:b/>
          <w:color w:val="0B1020"/>
          <w:sz w:val="30"/>
        </w:rPr>
        <w:t>No rollback, no release.</w:t>
      </w:r>
    </w:p>
    <w:p>
      <w:pPr>
        <w:pStyle w:val="Heading1"/>
      </w:pPr>
      <w:r>
        <w:t>3. v1.1 Implementation Upgrade</w:t>
      </w:r>
    </w:p>
    <w:p>
      <w:pPr>
        <w:pStyle w:val="ListBullet"/>
      </w:pPr>
      <w:r>
        <w:rPr>
          <w:sz w:val="18"/>
        </w:rPr>
        <w:t>Canonicalization profile</w:t>
      </w:r>
    </w:p>
    <w:p>
      <w:pPr>
        <w:pStyle w:val="ListBullet"/>
      </w:pPr>
      <w:r>
        <w:rPr>
          <w:sz w:val="18"/>
        </w:rPr>
        <w:t>Attestation and bundle schemas</w:t>
      </w:r>
    </w:p>
    <w:p>
      <w:pPr>
        <w:pStyle w:val="ListBullet"/>
      </w:pPr>
      <w:r>
        <w:rPr>
          <w:sz w:val="18"/>
        </w:rPr>
        <w:t>Full examples for all packet types</w:t>
      </w:r>
    </w:p>
    <w:p>
      <w:pPr>
        <w:pStyle w:val="ListBullet"/>
      </w:pPr>
      <w:r>
        <w:rPr>
          <w:sz w:val="18"/>
        </w:rPr>
        <w:t>Hash, validation, conformance, and chain-verification tools</w:t>
      </w:r>
    </w:p>
    <w:p>
      <w:pPr>
        <w:pStyle w:val="ListBullet"/>
      </w:pPr>
      <w:r>
        <w:rPr>
          <w:sz w:val="18"/>
        </w:rPr>
        <w:t>Website, conformance CI, and release workflows</w:t>
      </w:r>
    </w:p>
    <w:p>
      <w:pPr>
        <w:pStyle w:val="Heading1"/>
      </w:pPr>
      <w:r>
        <w:t>4. Design Principles</w:t>
      </w:r>
    </w:p>
    <w:p>
      <w:pPr>
        <w:pStyle w:val="ListBullet"/>
      </w:pPr>
      <w:r>
        <w:rPr>
          <w:sz w:val="18"/>
        </w:rPr>
        <w:t>Atomic</w:t>
      </w:r>
    </w:p>
    <w:p>
      <w:pPr>
        <w:pStyle w:val="ListBullet"/>
      </w:pPr>
      <w:r>
        <w:rPr>
          <w:sz w:val="18"/>
        </w:rPr>
        <w:t>Hashable</w:t>
      </w:r>
    </w:p>
    <w:p>
      <w:pPr>
        <w:pStyle w:val="ListBullet"/>
      </w:pPr>
      <w:r>
        <w:rPr>
          <w:sz w:val="18"/>
        </w:rPr>
        <w:t>Composable</w:t>
      </w:r>
    </w:p>
    <w:p>
      <w:pPr>
        <w:pStyle w:val="ListBullet"/>
      </w:pPr>
      <w:r>
        <w:rPr>
          <w:sz w:val="18"/>
        </w:rPr>
        <w:t>Boundary-aware</w:t>
      </w:r>
    </w:p>
    <w:p>
      <w:pPr>
        <w:pStyle w:val="ListBullet"/>
      </w:pPr>
      <w:r>
        <w:rPr>
          <w:sz w:val="18"/>
        </w:rPr>
        <w:t>Claim-bounded</w:t>
      </w:r>
    </w:p>
    <w:p>
      <w:pPr>
        <w:pStyle w:val="ListBullet"/>
      </w:pPr>
      <w:r>
        <w:rPr>
          <w:sz w:val="18"/>
        </w:rPr>
        <w:t>Evolvable</w:t>
      </w:r>
    </w:p>
    <w:p>
      <w:pPr>
        <w:pStyle w:val="ListBullet"/>
      </w:pPr>
      <w:r>
        <w:rPr>
          <w:sz w:val="18"/>
        </w:rPr>
        <w:t>Rollback-aware</w:t>
      </w:r>
    </w:p>
    <w:p>
      <w:r>
        <w:br w:type="page"/>
      </w:r>
    </w:p>
    <w:p>
      <w:pPr>
        <w:pStyle w:val="Heading1"/>
      </w:pPr>
      <w:r>
        <w:t>5. Required Fields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Field</w:t>
            </w:r>
          </w:p>
        </w:tc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Purpose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packet_id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Unique packet identifier.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schema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Must be AEP-003.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schema_version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Schema version.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packet_type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commit, trace_event, tool_call, eval_result, rollback_event, etc.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Creation timestamp.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producer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Agent, system, human, organization, workflow, or validator.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docket_id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Related AEP-002 Evidence Docket.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commitment_id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Related commitment.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run_id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Related machine-work run.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claim_refs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Claims supported or bounded by the packet.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evidence_refs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Evidence references.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boundary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Public/private/protected visibility boundary.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payload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Packet-type-specific content.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hash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Canonical packet hash.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claim_boundary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Supported and unsupported claims.</w:t>
            </w:r>
          </w:p>
        </w:tc>
      </w:tr>
    </w:tbl>
    <w:p>
      <w:r>
        <w:br w:type="page"/>
      </w:r>
    </w:p>
    <w:p>
      <w:pPr>
        <w:pStyle w:val="Heading1"/>
      </w:pPr>
      <w:r>
        <w:t>6. Packet Types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Packet Type</w:t>
            </w:r>
          </w:p>
        </w:tc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Purpose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commit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Mission, authorization, constraints, success criteria, failure criteria.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trace_event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Relevant execution event without full trace exposure.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tool_call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Tool use, permission class, approval state, result summary.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policy_decision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Policy decision, denial, escalation, or approval requirement.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approval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Human or institutional authorization.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eval_result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Evaluation, test, score, check, or evaluator attestation.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evidence_ref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Reference to evidence stored elsewhere.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risk_event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Risk, incident, mitigation, residual concern.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cost_event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Cost, latency, token count, compute time, human-review burden.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selection_decision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Selection Gate decision.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rollout_event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Canary scope, monitoring plan, propagation limit.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rollback_event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Rollback trigger, target, action, owner, recovery.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public_report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Public-safe report publication event.</w:t>
            </w:r>
          </w:p>
        </w:tc>
      </w:tr>
    </w:tbl>
    <w:p>
      <w:r>
        <w:br w:type="page"/>
      </w:r>
    </w:p>
    <w:p>
      <w:pPr>
        <w:pStyle w:val="Heading1"/>
      </w:pPr>
      <w:r>
        <w:t>7. Canonical JSON and Hashing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proofpacket_hash_ch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ProofPacket should be hashed using deterministic canonical JSON: remove mutable signature fields, set hash to a zero-placeholder, sort object keys, encode as UTF-8, and hash using SHA-256 unless another approved algorithm is specified.</w:t>
      </w:r>
    </w:p>
    <w:p>
      <w:r>
        <w:rPr>
          <w:b/>
          <w:color w:val="B78A00"/>
        </w:rPr>
        <w:t>packet_hash = SHA256(canonical_json(packet_without_signature))</w:t>
      </w:r>
    </w:p>
    <w:p>
      <w:pPr>
        <w:pStyle w:val="Heading1"/>
      </w:pPr>
      <w:r>
        <w:t>8. Boundary Block</w:t>
      </w:r>
    </w:p>
    <w:p>
      <w:pPr>
        <w:pStyle w:val="ListBullet"/>
      </w:pPr>
      <w:r>
        <w:rPr>
          <w:sz w:val="18"/>
        </w:rPr>
        <w:t>access_class: public, private, protected, or restricted</w:t>
      </w:r>
    </w:p>
    <w:p>
      <w:pPr>
        <w:pStyle w:val="ListBullet"/>
      </w:pPr>
      <w:r>
        <w:rPr>
          <w:sz w:val="18"/>
        </w:rPr>
        <w:t>public_safe: true or false</w:t>
      </w:r>
    </w:p>
    <w:p>
      <w:pPr>
        <w:pStyle w:val="ListBullet"/>
      </w:pPr>
      <w:r>
        <w:rPr>
          <w:sz w:val="18"/>
        </w:rPr>
        <w:t>contains_sensitive_data: true or false</w:t>
      </w:r>
    </w:p>
    <w:p>
      <w:pPr>
        <w:pStyle w:val="ListBullet"/>
      </w:pPr>
      <w:r>
        <w:rPr>
          <w:sz w:val="18"/>
        </w:rPr>
        <w:t>publication_allowed: true or false</w:t>
      </w:r>
    </w:p>
    <w:p>
      <w:pPr>
        <w:pStyle w:val="ListBullet"/>
      </w:pPr>
      <w:r>
        <w:rPr>
          <w:sz w:val="18"/>
        </w:rPr>
        <w:t>jurisdiction and retention policy</w:t>
      </w:r>
    </w:p>
    <w:p>
      <w:r>
        <w:br w:type="page"/>
      </w:r>
    </w:p>
    <w:p>
      <w:pPr>
        <w:pStyle w:val="Heading1"/>
      </w:pPr>
      <w:r>
        <w:t>9.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proofpacket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10. Conformance Levels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Level</w:t>
            </w:r>
          </w:p>
        </w:tc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Requirement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Level 0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Informal human-readable proof fragment.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Level 1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Valid JSON packet.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Level 2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Hashable packet with valid canonical hash.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Level 3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Docket-linked packet.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Level 4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Institutional packet with policy, eval, risk, cost, boundary, attestation, and Selection Gate references.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Level 5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Sovereign / regulated packet with jurisdiction, retention, protected-boundary classification, signer, timestamp authority, and restricted appendix controls.</w:t>
            </w:r>
          </w:p>
        </w:tc>
      </w:tr>
    </w:tbl>
    <w:p>
      <w:pPr>
        <w:pStyle w:val="Heading1"/>
      </w:pPr>
      <w:r>
        <w:t>11. Security and Privacy Requirements</w:t>
      </w:r>
    </w:p>
    <w:p>
      <w:r>
        <w:t>Do not place secrets, personal data, regulated data, private prompts, full sensitive traces, credentials, confidential tool outputs, or protected operational details in a public ProofPacket. Use references, hashes, and access-class markers instead.</w:t>
      </w:r>
    </w:p>
    <w:p>
      <w:pPr>
        <w:pStyle w:val="Heading1"/>
      </w:pPr>
      <w:r>
        <w:t>12. Claim Boundary</w:t>
      </w:r>
    </w:p>
    <w:p>
      <w:r>
        <w:t>AEP-003 does not claim achieved AGI, achieved ASI, perfect safety, legal compliance certification, financial or legal advice, guaranteed ROI, production readiness, government endorsement, or national-security readiness. AEP-003 defines an atomic proof schema.</w:t>
      </w:r>
    </w:p>
    <w:p>
      <w:pPr>
        <w:jc w:val="center"/>
      </w:pPr>
      <w:r>
        <w:rPr>
          <w:b/>
          <w:color w:val="B78A00"/>
          <w:sz w:val="26"/>
        </w:rPr>
        <w:t>GoalOS makes machine work provable one packet at a time.</w:t>
      </w:r>
    </w:p>
    <w:sectPr w:rsidR="00FC693F" w:rsidRPr="0006063C" w:rsidSect="00034616"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