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AEP-005</w:t>
      </w:r>
    </w:p>
    <w:p>
      <w:pPr>
        <w:jc w:val="center"/>
      </w:pPr>
      <w:r>
        <w:rPr>
          <w:b/>
          <w:color w:val="0B1020"/>
          <w:sz w:val="60"/>
        </w:rPr>
        <w:t>Tool Permission Standard</w:t>
      </w:r>
    </w:p>
    <w:p>
      <w:pPr>
        <w:jc w:val="center"/>
      </w:pPr>
      <w:r>
        <w:rPr>
          <w:color w:val="46536E"/>
          <w:sz w:val="27"/>
        </w:rPr>
        <w:t>Scoped, approved, leased, revocable, and provable tool use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pStyle w:val="Heading1"/>
      </w:pPr>
      <w:r>
        <w:t>Purpose</w:t>
      </w:r>
    </w:p>
    <w:p>
      <w:r>
        <w:t>AEP-005 defines the governance layer that determines whether an agent, workflow, model route, human operator, or automated system may use a tool, under what scope, for how long, with which approvals, what evidence must be recorded, and what rollback or compensation path is required.</w:t>
      </w:r>
    </w:p>
    <w:p>
      <w:pPr>
        <w:pStyle w:val="Heading1"/>
      </w:pPr>
      <w:r>
        <w:t>Canonical Law</w:t>
      </w:r>
    </w:p>
    <w:p>
      <w:pPr>
        <w:pStyle w:val="ListBullet"/>
      </w:pPr>
      <w:r>
        <w:rPr>
          <w:sz w:val="16"/>
        </w:rPr>
        <w:t>No tool without permission.</w:t>
      </w:r>
    </w:p>
    <w:p>
      <w:pPr>
        <w:pStyle w:val="ListBullet"/>
      </w:pPr>
      <w:r>
        <w:rPr>
          <w:sz w:val="16"/>
        </w:rPr>
        <w:t>No action without scope.</w:t>
      </w:r>
    </w:p>
    <w:p>
      <w:pPr>
        <w:pStyle w:val="ListBullet"/>
      </w:pPr>
      <w:r>
        <w:rPr>
          <w:sz w:val="16"/>
        </w:rPr>
        <w:t>No high-risk tool without approval.</w:t>
      </w:r>
    </w:p>
    <w:p>
      <w:pPr>
        <w:pStyle w:val="ListBullet"/>
      </w:pPr>
      <w:r>
        <w:rPr>
          <w:sz w:val="16"/>
        </w:rPr>
        <w:t>No side effect without receipt.</w:t>
      </w:r>
    </w:p>
    <w:p>
      <w:pPr>
        <w:pStyle w:val="ListBullet"/>
      </w:pPr>
      <w:r>
        <w:rPr>
          <w:sz w:val="16"/>
        </w:rPr>
        <w:t>No irreversible action without rollback or compensation.</w:t>
      </w:r>
    </w:p>
    <w:p>
      <w:pPr>
        <w:pStyle w:val="ListBullet"/>
      </w:pPr>
      <w:r>
        <w:rPr>
          <w:sz w:val="16"/>
        </w:rPr>
        <w:t>No permanent authority without expiration.</w:t>
      </w:r>
    </w:p>
    <w:p>
      <w:pPr>
        <w:pStyle w:val="ListBullet"/>
      </w:pPr>
      <w:r>
        <w:rPr>
          <w:sz w:val="16"/>
        </w:rPr>
        <w:t>No proof, no evolution.</w:t>
      </w:r>
    </w:p>
    <w:p>
      <w:pPr>
        <w:pStyle w:val="Heading1"/>
      </w:pPr>
      <w:r>
        <w:t>Permission Classes</w:t>
      </w:r>
    </w:p>
    <w:p>
      <w:r>
        <w:t>none · read · draft · transform · write · execute · external_contact · send · delete · deploy · payment · secret_access · admin_change · protected_operation · break_glass</w:t>
      </w:r>
    </w:p>
    <w:p>
      <w:pPr>
        <w:pStyle w:val="Heading1"/>
      </w:pPr>
      <w:r>
        <w:t>Core Objects</w:t>
      </w:r>
    </w:p>
    <w:p>
      <w:pPr>
        <w:pStyle w:val="ListBullet"/>
      </w:pPr>
      <w:r>
        <w:rPr>
          <w:sz w:val="16"/>
        </w:rPr>
        <w:t>Tool Manifest</w:t>
      </w:r>
    </w:p>
    <w:p>
      <w:pPr>
        <w:pStyle w:val="ListBullet"/>
      </w:pPr>
      <w:r>
        <w:rPr>
          <w:sz w:val="16"/>
        </w:rPr>
        <w:t>Tool Permission Policy</w:t>
      </w:r>
    </w:p>
    <w:p>
      <w:pPr>
        <w:pStyle w:val="ListBullet"/>
      </w:pPr>
      <w:r>
        <w:rPr>
          <w:sz w:val="16"/>
        </w:rPr>
        <w:t>Tool Request</w:t>
      </w:r>
    </w:p>
    <w:p>
      <w:pPr>
        <w:pStyle w:val="ListBullet"/>
      </w:pPr>
      <w:r>
        <w:rPr>
          <w:sz w:val="16"/>
        </w:rPr>
        <w:t>Tool Permission Decision</w:t>
      </w:r>
    </w:p>
    <w:p>
      <w:pPr>
        <w:pStyle w:val="ListBullet"/>
      </w:pPr>
      <w:r>
        <w:rPr>
          <w:sz w:val="16"/>
        </w:rPr>
        <w:t>Permission Lease</w:t>
      </w:r>
    </w:p>
    <w:p>
      <w:pPr>
        <w:pStyle w:val="ListBullet"/>
      </w:pPr>
      <w:r>
        <w:rPr>
          <w:sz w:val="16"/>
        </w:rPr>
        <w:t>Approval Receipt</w:t>
      </w:r>
    </w:p>
    <w:p>
      <w:pPr>
        <w:pStyle w:val="ListBullet"/>
      </w:pPr>
      <w:r>
        <w:rPr>
          <w:sz w:val="16"/>
        </w:rPr>
        <w:t>Tool Call Receipt</w:t>
      </w:r>
    </w:p>
    <w:p>
      <w:pPr>
        <w:pStyle w:val="ListBullet"/>
      </w:pPr>
      <w:r>
        <w:rPr>
          <w:sz w:val="16"/>
        </w:rPr>
        <w:t>Revocation Receipt</w:t>
      </w:r>
    </w:p>
    <w:p>
      <w:pPr>
        <w:pStyle w:val="ListBullet"/>
      </w:pPr>
      <w:r>
        <w:rPr>
          <w:sz w:val="16"/>
        </w:rPr>
        <w:t>Compensation Receipt</w:t>
      </w:r>
    </w:p>
    <w:p>
      <w:pPr>
        <w:pStyle w:val="ListBullet"/>
      </w:pPr>
      <w:r>
        <w:rPr>
          <w:sz w:val="16"/>
        </w:rPr>
        <w:t>Break-Glass Request</w:t>
      </w:r>
    </w:p>
    <w:p>
      <w:pPr>
        <w:pStyle w:val="Heading1"/>
      </w:pPr>
      <w:r>
        <w:t>Public Line</w:t>
      </w:r>
    </w:p>
    <w:p>
      <w:r>
        <w:t>AEP-001 defines the protocol. AEP-002 defines the docket. AEP-003 defines the packet. AEP-004 defines the gate. AEP-005 defines the permission. GoalOS allows only what is scoped, approved, leased, revocable, and provable.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