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D3D8" w14:textId="77777777" w:rsidR="00D06010" w:rsidRPr="00445354" w:rsidRDefault="00116FD4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445354">
        <w:rPr>
          <w:rFonts w:ascii="Times New Roman" w:hAnsi="Times New Roman" w:cs="Times New Roman"/>
          <w:b/>
          <w:sz w:val="24"/>
          <w:szCs w:val="24"/>
          <w:lang w:val="es-MX"/>
        </w:rPr>
        <w:t>ANEXO F. CRONOGRAMA DE DESARROLLO POR SPRINTS</w:t>
      </w:r>
    </w:p>
    <w:p w14:paraId="53A7D3B1" w14:textId="1CCB9133" w:rsidR="00D06010" w:rsidRPr="00445354" w:rsidRDefault="00116FD4">
      <w:pPr>
        <w:spacing w:after="16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45354">
        <w:rPr>
          <w:rFonts w:ascii="Times New Roman" w:hAnsi="Times New Roman" w:cs="Times New Roman"/>
          <w:sz w:val="24"/>
          <w:szCs w:val="24"/>
          <w:lang w:val="es-MX"/>
        </w:rPr>
        <w:t xml:space="preserve">El desarrollo del prototipo se organiza en 16 </w:t>
      </w:r>
      <w:proofErr w:type="spellStart"/>
      <w:r w:rsidRPr="00445354">
        <w:rPr>
          <w:rFonts w:ascii="Times New Roman" w:hAnsi="Times New Roman" w:cs="Times New Roman"/>
          <w:sz w:val="24"/>
          <w:szCs w:val="24"/>
          <w:lang w:val="es-MX"/>
        </w:rPr>
        <w:t>sprints</w:t>
      </w:r>
      <w:proofErr w:type="spellEnd"/>
      <w:r w:rsidRPr="00445354">
        <w:rPr>
          <w:rFonts w:ascii="Times New Roman" w:hAnsi="Times New Roman" w:cs="Times New Roman"/>
          <w:sz w:val="24"/>
          <w:szCs w:val="24"/>
          <w:lang w:val="es-MX"/>
        </w:rPr>
        <w:t xml:space="preserve"> entre el 01/08/2026 y el 15/11/2026. </w:t>
      </w:r>
    </w:p>
    <w:p w14:paraId="488E0DB2" w14:textId="2E673366" w:rsidR="00445354" w:rsidRPr="00445354" w:rsidRDefault="00445354">
      <w:pPr>
        <w:spacing w:after="16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45354">
        <w:rPr>
          <w:rFonts w:ascii="Times New Roman" w:hAnsi="Times New Roman" w:cs="Times New Roman"/>
          <w:sz w:val="24"/>
          <w:szCs w:val="24"/>
          <w:lang w:val="es-MX"/>
        </w:rPr>
        <w:t xml:space="preserve">Alumno: </w:t>
      </w:r>
      <w:r>
        <w:rPr>
          <w:rFonts w:ascii="Times New Roman" w:hAnsi="Times New Roman" w:cs="Times New Roman"/>
          <w:sz w:val="24"/>
          <w:szCs w:val="24"/>
          <w:lang w:val="es-MX"/>
        </w:rPr>
        <w:t>Monty Emmanuel Pohl Amarilla</w:t>
      </w:r>
    </w:p>
    <w:tbl>
      <w:tblPr>
        <w:tblStyle w:val="Tablaconcuadrcula"/>
        <w:tblW w:w="14952" w:type="dxa"/>
        <w:jc w:val="center"/>
        <w:tblLayout w:type="fixed"/>
        <w:tblLook w:val="04A0" w:firstRow="1" w:lastRow="0" w:firstColumn="1" w:lastColumn="0" w:noHBand="0" w:noVBand="1"/>
      </w:tblPr>
      <w:tblGrid>
        <w:gridCol w:w="1205"/>
        <w:gridCol w:w="1736"/>
        <w:gridCol w:w="7761"/>
        <w:gridCol w:w="2057"/>
        <w:gridCol w:w="2193"/>
      </w:tblGrid>
      <w:tr w:rsidR="00445354" w:rsidRPr="00445354" w14:paraId="6D3800FF" w14:textId="49AE044D" w:rsidTr="00445354">
        <w:trPr>
          <w:cantSplit/>
          <w:trHeight w:val="850"/>
          <w:tblHeader/>
          <w:jc w:val="center"/>
        </w:trPr>
        <w:tc>
          <w:tcPr>
            <w:tcW w:w="1205" w:type="dxa"/>
            <w:shd w:val="clear" w:color="auto" w:fill="D9E2F3"/>
            <w:vAlign w:val="center"/>
          </w:tcPr>
          <w:p w14:paraId="68711F6A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736" w:type="dxa"/>
            <w:shd w:val="clear" w:color="auto" w:fill="D9E2F3"/>
            <w:vAlign w:val="center"/>
          </w:tcPr>
          <w:p w14:paraId="56CF17D9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Fechas</w:t>
            </w:r>
            <w:proofErr w:type="spellEnd"/>
          </w:p>
        </w:tc>
        <w:tc>
          <w:tcPr>
            <w:tcW w:w="7761" w:type="dxa"/>
            <w:shd w:val="clear" w:color="auto" w:fill="D9E2F3"/>
            <w:vAlign w:val="center"/>
          </w:tcPr>
          <w:p w14:paraId="61D2C0B6" w14:textId="427362EC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Avance</w:t>
            </w:r>
            <w:proofErr w:type="spellEnd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Proyectado</w:t>
            </w:r>
            <w:proofErr w:type="spellEnd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Entregable</w:t>
            </w:r>
            <w:proofErr w:type="spellEnd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semanal</w:t>
            </w:r>
            <w:proofErr w:type="spellEnd"/>
          </w:p>
        </w:tc>
        <w:tc>
          <w:tcPr>
            <w:tcW w:w="4250" w:type="dxa"/>
            <w:gridSpan w:val="2"/>
            <w:shd w:val="clear" w:color="auto" w:fill="D9E2F3"/>
          </w:tcPr>
          <w:p w14:paraId="33E7C7A1" w14:textId="364A6CF8" w:rsidR="00445354" w:rsidRPr="00445354" w:rsidRDefault="004453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Firmas</w:t>
            </w:r>
            <w:proofErr w:type="spellEnd"/>
          </w:p>
        </w:tc>
      </w:tr>
      <w:tr w:rsidR="00445354" w:rsidRPr="00445354" w14:paraId="10872457" w14:textId="65550A9B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188B32A5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</w:t>
            </w:r>
          </w:p>
        </w:tc>
        <w:tc>
          <w:tcPr>
            <w:tcW w:w="1736" w:type="dxa"/>
            <w:vAlign w:val="center"/>
          </w:tcPr>
          <w:p w14:paraId="2F22AF19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01/08–07/08</w:t>
            </w:r>
          </w:p>
        </w:tc>
        <w:tc>
          <w:tcPr>
            <w:tcW w:w="7761" w:type="dxa"/>
            <w:vAlign w:val="center"/>
          </w:tcPr>
          <w:p w14:paraId="60A40CAD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Preparación del entorno, repositorios, ramas, CI/CD inicial, backlog y definición técnica del MVP actualizado.</w:t>
            </w:r>
          </w:p>
        </w:tc>
        <w:tc>
          <w:tcPr>
            <w:tcW w:w="2057" w:type="dxa"/>
          </w:tcPr>
          <w:p w14:paraId="49F836CE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0A84BF98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3D6EF281" w14:textId="262B2C24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2B89C8C4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2</w:t>
            </w:r>
          </w:p>
        </w:tc>
        <w:tc>
          <w:tcPr>
            <w:tcW w:w="1736" w:type="dxa"/>
            <w:vAlign w:val="center"/>
          </w:tcPr>
          <w:p w14:paraId="5FE7D2A7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08/08–14/08</w:t>
            </w:r>
          </w:p>
        </w:tc>
        <w:tc>
          <w:tcPr>
            <w:tcW w:w="7761" w:type="dxa"/>
            <w:vAlign w:val="center"/>
          </w:tcPr>
          <w:p w14:paraId="5B894D7F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Modelo de datos, migraciones iniciales, instituciones, categorías y estructura del módulo de incentivos: confirmaciones, transacciones de puntos, recompensas y canjes.</w:t>
            </w:r>
          </w:p>
        </w:tc>
        <w:tc>
          <w:tcPr>
            <w:tcW w:w="2057" w:type="dxa"/>
          </w:tcPr>
          <w:p w14:paraId="12BA77CF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61491933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4F77D4D0" w14:textId="286A3868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645A11E2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3</w:t>
            </w:r>
          </w:p>
        </w:tc>
        <w:tc>
          <w:tcPr>
            <w:tcW w:w="1736" w:type="dxa"/>
            <w:vAlign w:val="center"/>
          </w:tcPr>
          <w:p w14:paraId="6E6CEED4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15/08–21/08</w:t>
            </w:r>
          </w:p>
        </w:tc>
        <w:tc>
          <w:tcPr>
            <w:tcW w:w="7761" w:type="dxa"/>
            <w:vAlign w:val="center"/>
          </w:tcPr>
          <w:p w14:paraId="6413322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Google OAuth, roles, permisos, usuarios y restricciones por tipo de actor.</w:t>
            </w:r>
          </w:p>
        </w:tc>
        <w:tc>
          <w:tcPr>
            <w:tcW w:w="2057" w:type="dxa"/>
          </w:tcPr>
          <w:p w14:paraId="225DFA33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0E02C779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6FA2F6E8" w14:textId="5CCD0164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432C16D0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4</w:t>
            </w:r>
          </w:p>
        </w:tc>
        <w:tc>
          <w:tcPr>
            <w:tcW w:w="1736" w:type="dxa"/>
            <w:vAlign w:val="center"/>
          </w:tcPr>
          <w:p w14:paraId="0D740EF2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22/08–28/08</w:t>
            </w:r>
          </w:p>
        </w:tc>
        <w:tc>
          <w:tcPr>
            <w:tcW w:w="7761" w:type="dxa"/>
            <w:vAlign w:val="center"/>
          </w:tcPr>
          <w:p w14:paraId="386E042D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Verificación de identidad mediante cédula/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selfie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revisión administrativa y preferencias de privacidad del usuario y del ranking.</w:t>
            </w:r>
          </w:p>
        </w:tc>
        <w:tc>
          <w:tcPr>
            <w:tcW w:w="2057" w:type="dxa"/>
          </w:tcPr>
          <w:p w14:paraId="59DF19E8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3FBB3677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7E7678DE" w14:textId="7B0B67B1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59E703D6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5</w:t>
            </w:r>
          </w:p>
        </w:tc>
        <w:tc>
          <w:tcPr>
            <w:tcW w:w="1736" w:type="dxa"/>
            <w:vAlign w:val="center"/>
          </w:tcPr>
          <w:p w14:paraId="0E8B15C4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29/08–04/09</w:t>
            </w:r>
          </w:p>
        </w:tc>
        <w:tc>
          <w:tcPr>
            <w:tcW w:w="7761" w:type="dxa"/>
            <w:vAlign w:val="center"/>
          </w:tcPr>
          <w:p w14:paraId="08CEBEB2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Mapa público, GPS/selección manual y filtros de reportes: activos, resueltos y todos.</w:t>
            </w:r>
          </w:p>
        </w:tc>
        <w:tc>
          <w:tcPr>
            <w:tcW w:w="2057" w:type="dxa"/>
          </w:tcPr>
          <w:p w14:paraId="78C225D2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7F95FE3D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31A88057" w14:textId="1D0ADB19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2207E46C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6</w:t>
            </w:r>
          </w:p>
        </w:tc>
        <w:tc>
          <w:tcPr>
            <w:tcW w:w="1736" w:type="dxa"/>
            <w:vAlign w:val="center"/>
          </w:tcPr>
          <w:p w14:paraId="23D2BBCF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05/09–11/09</w:t>
            </w:r>
          </w:p>
        </w:tc>
        <w:tc>
          <w:tcPr>
            <w:tcW w:w="7761" w:type="dxa"/>
            <w:vAlign w:val="center"/>
          </w:tcPr>
          <w:p w14:paraId="667BACFE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Creación de reportes, fotografía obligatoria, hash de imagen idéntica, detección preliminar de posibles duplicados y generación de 20 puntos pendientes.</w:t>
            </w:r>
          </w:p>
        </w:tc>
        <w:tc>
          <w:tcPr>
            <w:tcW w:w="2057" w:type="dxa"/>
          </w:tcPr>
          <w:p w14:paraId="5233D6D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44842287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05EBCA87" w14:textId="0AAB694E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28504AF2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7</w:t>
            </w:r>
          </w:p>
        </w:tc>
        <w:tc>
          <w:tcPr>
            <w:tcW w:w="1736" w:type="dxa"/>
            <w:vAlign w:val="center"/>
          </w:tcPr>
          <w:p w14:paraId="2B57E861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12/09–18/09</w:t>
            </w:r>
          </w:p>
        </w:tc>
        <w:tc>
          <w:tcPr>
            <w:tcW w:w="7761" w:type="dxa"/>
            <w:vAlign w:val="center"/>
          </w:tcPr>
          <w:p w14:paraId="667A8922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Panel ciudadano, seguimiento y confirmación de reportes activos. Una confirmación por usuario, prohibición de confirmar reporte propio y generación de 10 puntos pendientes.</w:t>
            </w:r>
          </w:p>
        </w:tc>
        <w:tc>
          <w:tcPr>
            <w:tcW w:w="2057" w:type="dxa"/>
          </w:tcPr>
          <w:p w14:paraId="205D9B6A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6CF3831D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1132A1E8" w14:textId="68E72115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41C5431B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8</w:t>
            </w:r>
          </w:p>
        </w:tc>
        <w:tc>
          <w:tcPr>
            <w:tcW w:w="1736" w:type="dxa"/>
            <w:vAlign w:val="center"/>
          </w:tcPr>
          <w:p w14:paraId="47AC4723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19/09–25/09</w:t>
            </w:r>
          </w:p>
        </w:tc>
        <w:tc>
          <w:tcPr>
            <w:tcW w:w="7761" w:type="dxa"/>
            <w:vAlign w:val="center"/>
          </w:tcPr>
          <w:p w14:paraId="3731EBDF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Integración IA: clasificación de categoría/institución, prioridad, análisis de inconsistencias y apoyo para detectar posibles duplicados. </w:t>
            </w: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 xml:space="preserve">Casos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dudosos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enviados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revisión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humana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57" w:type="dxa"/>
          </w:tcPr>
          <w:p w14:paraId="5DCE3BA3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5ED0790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54" w:rsidRPr="00445354" w14:paraId="3682EA15" w14:textId="3E1EE825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5E79F73A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9</w:t>
            </w:r>
          </w:p>
        </w:tc>
        <w:tc>
          <w:tcPr>
            <w:tcW w:w="1736" w:type="dxa"/>
            <w:vAlign w:val="center"/>
          </w:tcPr>
          <w:p w14:paraId="080E63E2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26/09–02/10</w:t>
            </w:r>
          </w:p>
        </w:tc>
        <w:tc>
          <w:tcPr>
            <w:tcW w:w="7761" w:type="dxa"/>
            <w:vAlign w:val="center"/>
          </w:tcPr>
          <w:p w14:paraId="2B1A999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Panel institucional, revisión y validación institucional del reporte. Acreditación de puntos pendientes, bonus de 30 puntos, acreditación de confirmaciones y asignación de créditos a la institución responsable.</w:t>
            </w:r>
          </w:p>
        </w:tc>
        <w:tc>
          <w:tcPr>
            <w:tcW w:w="2057" w:type="dxa"/>
          </w:tcPr>
          <w:p w14:paraId="71B279CF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42BC9707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5C7E69C8" w14:textId="4595A173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575AF242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Sprint 10</w:t>
            </w:r>
          </w:p>
        </w:tc>
        <w:tc>
          <w:tcPr>
            <w:tcW w:w="1736" w:type="dxa"/>
            <w:vAlign w:val="center"/>
          </w:tcPr>
          <w:p w14:paraId="570CA485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03/10–09/10</w:t>
            </w:r>
          </w:p>
        </w:tc>
        <w:tc>
          <w:tcPr>
            <w:tcW w:w="7761" w:type="dxa"/>
            <w:vAlign w:val="center"/>
          </w:tcPr>
          <w:p w14:paraId="1B10544A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Gestión de estados, evidencias de resolución, historial y auditoría. Bonus de 50 puntos por resolución, reversión de acreditaciones cuando corresponda y trazabilidad completa.</w:t>
            </w:r>
          </w:p>
        </w:tc>
        <w:tc>
          <w:tcPr>
            <w:tcW w:w="2057" w:type="dxa"/>
          </w:tcPr>
          <w:p w14:paraId="5245737A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185F8668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087014BC" w14:textId="49CA1F87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78AD01C2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11</w:t>
            </w:r>
          </w:p>
        </w:tc>
        <w:tc>
          <w:tcPr>
            <w:tcW w:w="1736" w:type="dxa"/>
            <w:vAlign w:val="center"/>
          </w:tcPr>
          <w:p w14:paraId="20296318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10/10–16/10</w:t>
            </w:r>
          </w:p>
        </w:tc>
        <w:tc>
          <w:tcPr>
            <w:tcW w:w="7761" w:type="dxa"/>
            <w:vAlign w:val="center"/>
          </w:tcPr>
          <w:p w14:paraId="6ECB4DAF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Implementación de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rewards_app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: saldos, conversión 1:1 de puntos acreditados a créditos institucionales, impacto histórico, impacto mensual, Top 10 y privacidad del ranking.</w:t>
            </w:r>
          </w:p>
        </w:tc>
        <w:tc>
          <w:tcPr>
            <w:tcW w:w="2057" w:type="dxa"/>
          </w:tcPr>
          <w:p w14:paraId="41A5A701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6A28607F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3163199A" w14:textId="68CE376A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4ED821F9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12</w:t>
            </w:r>
          </w:p>
        </w:tc>
        <w:tc>
          <w:tcPr>
            <w:tcW w:w="1736" w:type="dxa"/>
            <w:vAlign w:val="center"/>
          </w:tcPr>
          <w:p w14:paraId="549C37B4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17/10–23/10</w:t>
            </w:r>
          </w:p>
        </w:tc>
        <w:tc>
          <w:tcPr>
            <w:tcW w:w="7761" w:type="dxa"/>
            <w:vAlign w:val="center"/>
          </w:tcPr>
          <w:p w14:paraId="0811E3F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Recompensas institucionales: catálogo básico, vale simulado de 1.000 créditos, generación de código, descuento de saldo, historial y límite de un canje por institución y por mes.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Notificaciones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 xml:space="preserve"> simples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asociadas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57" w:type="dxa"/>
          </w:tcPr>
          <w:p w14:paraId="4CA1A1A4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A30D8D7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54" w:rsidRPr="00445354" w14:paraId="143D007F" w14:textId="7527E193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41D9FC7E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13</w:t>
            </w:r>
          </w:p>
        </w:tc>
        <w:tc>
          <w:tcPr>
            <w:tcW w:w="1736" w:type="dxa"/>
            <w:vAlign w:val="center"/>
          </w:tcPr>
          <w:p w14:paraId="62B8358E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24/10–30/10</w:t>
            </w:r>
          </w:p>
        </w:tc>
        <w:tc>
          <w:tcPr>
            <w:tcW w:w="7761" w:type="dxa"/>
            <w:vAlign w:val="center"/>
          </w:tcPr>
          <w:p w14:paraId="4FEB62E0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Dashboard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institucional y público, métricas e integración funcional completa.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Telegram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X simulado únicamente si el núcleo obligatorio se encuentra estable.</w:t>
            </w:r>
          </w:p>
        </w:tc>
        <w:tc>
          <w:tcPr>
            <w:tcW w:w="2057" w:type="dxa"/>
          </w:tcPr>
          <w:p w14:paraId="23DE7A1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1605C4FB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7C09C85A" w14:textId="3FFAEED1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0348C8CE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14</w:t>
            </w:r>
          </w:p>
        </w:tc>
        <w:tc>
          <w:tcPr>
            <w:tcW w:w="1736" w:type="dxa"/>
            <w:vAlign w:val="center"/>
          </w:tcPr>
          <w:p w14:paraId="1A4C30F3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31/10–06/11</w:t>
            </w:r>
          </w:p>
        </w:tc>
        <w:tc>
          <w:tcPr>
            <w:tcW w:w="7761" w:type="dxa"/>
            <w:vAlign w:val="center"/>
          </w:tcPr>
          <w:p w14:paraId="77FE90E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Pruebas unitarias, integración, seguridad y E2E de los flujos de reportes, confirmaciones, puntos, créditos, ranking y canjes.</w:t>
            </w:r>
          </w:p>
        </w:tc>
        <w:tc>
          <w:tcPr>
            <w:tcW w:w="2057" w:type="dxa"/>
          </w:tcPr>
          <w:p w14:paraId="44FD3B6A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18A88CA3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0388E721" w14:textId="7ED7F3EA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1E582E31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15</w:t>
            </w:r>
          </w:p>
        </w:tc>
        <w:tc>
          <w:tcPr>
            <w:tcW w:w="1736" w:type="dxa"/>
            <w:vAlign w:val="center"/>
          </w:tcPr>
          <w:p w14:paraId="37F0CD44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07/11–13/11</w:t>
            </w:r>
          </w:p>
        </w:tc>
        <w:tc>
          <w:tcPr>
            <w:tcW w:w="7761" w:type="dxa"/>
            <w:vAlign w:val="center"/>
          </w:tcPr>
          <w:p w14:paraId="2BFF7DC6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Pruebas de carga, correcciones, </w:t>
            </w:r>
            <w:proofErr w:type="spellStart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dataset</w:t>
            </w:r>
            <w:proofErr w:type="spellEnd"/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sintético definitivo, ejecución de criterios de validación, documentación técnica, capturas y recopilación de evidencias.</w:t>
            </w:r>
          </w:p>
        </w:tc>
        <w:tc>
          <w:tcPr>
            <w:tcW w:w="2057" w:type="dxa"/>
          </w:tcPr>
          <w:p w14:paraId="5B92D57D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3DB548B3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445354" w:rsidRPr="00445354" w14:paraId="2A3AB0E5" w14:textId="27970126" w:rsidTr="00445354">
        <w:trPr>
          <w:cantSplit/>
          <w:trHeight w:val="850"/>
          <w:jc w:val="center"/>
        </w:trPr>
        <w:tc>
          <w:tcPr>
            <w:tcW w:w="1205" w:type="dxa"/>
            <w:vAlign w:val="center"/>
          </w:tcPr>
          <w:p w14:paraId="36179A6E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b/>
                <w:sz w:val="24"/>
                <w:szCs w:val="24"/>
              </w:rPr>
              <w:t>Sprint 16</w:t>
            </w:r>
          </w:p>
        </w:tc>
        <w:tc>
          <w:tcPr>
            <w:tcW w:w="1736" w:type="dxa"/>
            <w:vAlign w:val="center"/>
          </w:tcPr>
          <w:p w14:paraId="428C45B4" w14:textId="77777777" w:rsidR="00445354" w:rsidRPr="00445354" w:rsidRDefault="00445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</w:rPr>
              <w:t>14/11–15/11</w:t>
            </w:r>
          </w:p>
        </w:tc>
        <w:tc>
          <w:tcPr>
            <w:tcW w:w="7761" w:type="dxa"/>
            <w:vAlign w:val="center"/>
          </w:tcPr>
          <w:p w14:paraId="1A5AD8C5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445354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Cierre final: revisión integral, consolidación de resultados, empaquetado de evidencias y preparación de la defensa.</w:t>
            </w:r>
          </w:p>
        </w:tc>
        <w:tc>
          <w:tcPr>
            <w:tcW w:w="2057" w:type="dxa"/>
          </w:tcPr>
          <w:p w14:paraId="5E5485A1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2193" w:type="dxa"/>
          </w:tcPr>
          <w:p w14:paraId="6713C5F3" w14:textId="77777777" w:rsidR="00445354" w:rsidRPr="00445354" w:rsidRDefault="00445354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28A104EE" w14:textId="77777777" w:rsidR="00116FD4" w:rsidRPr="00974795" w:rsidRDefault="00116FD4">
      <w:pPr>
        <w:rPr>
          <w:rFonts w:ascii="Times New Roman" w:hAnsi="Times New Roman" w:cs="Times New Roman"/>
          <w:sz w:val="24"/>
          <w:szCs w:val="24"/>
          <w:u w:val="single"/>
          <w:lang w:val="es-MX"/>
        </w:rPr>
      </w:pPr>
    </w:p>
    <w:sectPr w:rsidR="00116FD4" w:rsidRPr="00974795" w:rsidSect="00445354">
      <w:footerReference w:type="default" r:id="rId8"/>
      <w:pgSz w:w="16838" w:h="11906" w:orient="landscape" w:code="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93C81" w14:textId="77777777" w:rsidR="00116FD4" w:rsidRDefault="00116FD4">
      <w:pPr>
        <w:spacing w:after="0" w:line="240" w:lineRule="auto"/>
      </w:pPr>
      <w:r>
        <w:separator/>
      </w:r>
    </w:p>
  </w:endnote>
  <w:endnote w:type="continuationSeparator" w:id="0">
    <w:p w14:paraId="04A1BD4F" w14:textId="77777777" w:rsidR="00116FD4" w:rsidRDefault="0011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AEA3E" w14:textId="7D9E72AF" w:rsidR="00D06010" w:rsidRPr="00445354" w:rsidRDefault="00116FD4">
    <w:pPr>
      <w:pStyle w:val="Piedepgina"/>
      <w:jc w:val="center"/>
      <w:rPr>
        <w:lang w:val="es-MX"/>
      </w:rPr>
    </w:pPr>
    <w:r w:rsidRPr="00445354">
      <w:rPr>
        <w:sz w:val="16"/>
        <w:lang w:val="es-MX"/>
      </w:rPr>
      <w:t>Ciudadanía Activa — Cronograma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72602" w14:textId="77777777" w:rsidR="00116FD4" w:rsidRDefault="00116FD4">
      <w:pPr>
        <w:spacing w:after="0" w:line="240" w:lineRule="auto"/>
      </w:pPr>
      <w:r>
        <w:separator/>
      </w:r>
    </w:p>
  </w:footnote>
  <w:footnote w:type="continuationSeparator" w:id="0">
    <w:p w14:paraId="5E078262" w14:textId="77777777" w:rsidR="00116FD4" w:rsidRDefault="00116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FD4"/>
    <w:rsid w:val="0015074B"/>
    <w:rsid w:val="0029639D"/>
    <w:rsid w:val="00326F90"/>
    <w:rsid w:val="00445354"/>
    <w:rsid w:val="00974795"/>
    <w:rsid w:val="00AA1D8D"/>
    <w:rsid w:val="00B47730"/>
    <w:rsid w:val="00CB0664"/>
    <w:rsid w:val="00D060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36917"/>
  <w14:defaultImageDpi w14:val="300"/>
  <w15:docId w15:val="{D9C4C3E9-9B35-4329-9B2C-034F0BF8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Monty Pohl</cp:lastModifiedBy>
  <cp:revision>3</cp:revision>
  <dcterms:created xsi:type="dcterms:W3CDTF">2013-12-23T23:15:00Z</dcterms:created>
  <dcterms:modified xsi:type="dcterms:W3CDTF">2026-08-10T16:43:00Z</dcterms:modified>
  <cp:category/>
</cp:coreProperties>
</file>