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АО «БАНК»</w:t>
      </w:r>
    </w:p>
    <w:p>
      <w:pPr>
        <w:jc w:val="center"/>
      </w:pPr>
      <w:r>
        <w:rPr>
          <w:b/>
          <w:sz w:val="36"/>
        </w:rPr>
        <w:t>ПАСПОРТ ПРОЕКТА</w:t>
      </w:r>
    </w:p>
    <w:p>
      <w:pPr>
        <w:jc w:val="center"/>
      </w:pPr>
      <w:r>
        <w:t>«Прогнозирование потребности в наличности для зарплатных клиентов»</w:t>
      </w:r>
    </w:p>
    <w:p>
      <w:pPr>
        <w:pStyle w:val="Heading1"/>
      </w:pPr>
      <w:r>
        <w:t>Общая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 проекта</w:t>
            </w:r>
          </w:p>
        </w:tc>
        <w:tc>
          <w:tcPr>
            <w:tcW w:type="dxa" w:w="4320"/>
          </w:tcPr>
          <w:p>
            <w:r>
              <w:t>Прогнозирование потребности в наличности для зарплатных клиентов</w:t>
            </w:r>
          </w:p>
        </w:tc>
      </w:tr>
      <w:tr>
        <w:tc>
          <w:tcPr>
            <w:tcW w:type="dxa" w:w="4320"/>
          </w:tcPr>
          <w:p>
            <w:r>
              <w:t>Код проекта</w:t>
            </w:r>
          </w:p>
        </w:tc>
        <w:tc>
          <w:tcPr>
            <w:tcW w:type="dxa" w:w="4320"/>
          </w:tcPr>
          <w:p>
            <w:r>
              <w:t>BANK-CASH-2026-004</w:t>
            </w:r>
          </w:p>
        </w:tc>
      </w:tr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Операционный блок</w:t>
            </w:r>
          </w:p>
        </w:tc>
      </w:tr>
      <w:tr>
        <w:tc>
          <w:tcPr>
            <w:tcW w:type="dxa" w:w="4320"/>
          </w:tcPr>
          <w:p>
            <w:r>
              <w:t>Исполнитель</w:t>
            </w:r>
          </w:p>
        </w:tc>
        <w:tc>
          <w:tcPr>
            <w:tcW w:type="dxa" w:w="4320"/>
          </w:tcPr>
          <w:p>
            <w:r>
              <w:t>Команда прогнозной аналитики</w:t>
            </w:r>
          </w:p>
        </w:tc>
      </w:tr>
      <w:tr>
        <w:tc>
          <w:tcPr>
            <w:tcW w:type="dxa" w:w="4320"/>
          </w:tcPr>
          <w:p>
            <w:r>
              <w:t>Плановый срок</w:t>
            </w:r>
          </w:p>
        </w:tc>
        <w:tc>
          <w:tcPr>
            <w:tcW w:type="dxa" w:w="4320"/>
          </w:tcPr>
          <w:p>
            <w:r>
              <w:t>01.04.2026 - 28.07.2026</w:t>
            </w:r>
          </w:p>
        </w:tc>
      </w:tr>
      <w:tr>
        <w:tc>
          <w:tcPr>
            <w:tcW w:type="dxa" w:w="4320"/>
          </w:tcPr>
          <w:p>
            <w:r>
              <w:t>Тип проекта</w:t>
            </w:r>
          </w:p>
        </w:tc>
        <w:tc>
          <w:tcPr>
            <w:tcW w:type="dxa" w:w="4320"/>
          </w:tcPr>
          <w:p>
            <w:r>
              <w:t>Аналитический проект с ML-прототипом</w:t>
            </w:r>
          </w:p>
        </w:tc>
      </w:tr>
    </w:tbl>
    <w:p>
      <w:pPr>
        <w:pStyle w:val="Heading1"/>
      </w:pPr>
      <w:r>
        <w:t>Контекст проекта</w:t>
      </w:r>
    </w:p>
    <w:p>
      <w:r>
        <w:t>Неравномерный спрос на наличность приводит к избыточным инкассациям или риску пустых банкоматов.</w:t>
      </w:r>
    </w:p>
    <w:p>
      <w:pPr>
        <w:pStyle w:val="Heading1"/>
      </w:pPr>
      <w:r>
        <w:t>Целевое состояние</w:t>
      </w:r>
    </w:p>
    <w:p>
      <w:r>
        <w:t>Разработать модель прогноза спроса на наличность и рекомендовать объемы пополнения банкоматов.</w:t>
      </w:r>
    </w:p>
    <w:p>
      <w:pPr>
        <w:pStyle w:val="Heading1"/>
      </w:pPr>
      <w:r>
        <w:t>Основные работы</w:t>
      </w:r>
    </w:p>
    <w:p>
      <w:pPr>
        <w:pStyle w:val="ListNumber"/>
      </w:pPr>
      <w:r>
        <w:t>Собрать историю снятий и пополнений.</w:t>
      </w:r>
    </w:p>
    <w:p>
      <w:pPr>
        <w:pStyle w:val="ListNumber"/>
      </w:pPr>
      <w:r>
        <w:t>Добавить календарные и региональные признаки.</w:t>
      </w:r>
    </w:p>
    <w:p>
      <w:pPr>
        <w:pStyle w:val="ListNumber"/>
      </w:pPr>
      <w:r>
        <w:t>Сравнить модели временных рядов.</w:t>
      </w:r>
    </w:p>
    <w:p>
      <w:pPr>
        <w:pStyle w:val="ListNumber"/>
      </w:pPr>
      <w:r>
        <w:t>Подготовить рекомендации по пополнению.</w:t>
      </w:r>
    </w:p>
    <w:p>
      <w:pPr>
        <w:pStyle w:val="Heading1"/>
      </w:pPr>
      <w:r>
        <w:t>Планируемые результаты</w:t>
      </w:r>
    </w:p>
    <w:p>
      <w:pPr>
        <w:pStyle w:val="ListBullet"/>
      </w:pPr>
      <w:r>
        <w:t>Модель прогноза спроса на наличность.</w:t>
      </w:r>
    </w:p>
    <w:p>
      <w:pPr>
        <w:pStyle w:val="ListBullet"/>
      </w:pPr>
      <w:r>
        <w:t>Рекомендованные объемы пополнения по банкоматам.</w:t>
      </w:r>
    </w:p>
    <w:p>
      <w:pPr>
        <w:pStyle w:val="ListBullet"/>
      </w:pPr>
      <w:r>
        <w:t>Оценка экономического эффекта от оптимизации инкассации.</w:t>
      </w:r>
    </w:p>
    <w:p>
      <w:pPr>
        <w:pStyle w:val="ListBullet"/>
      </w:pPr>
      <w:r>
        <w:t>Отчет о качестве прогноза по регионам.</w:t>
      </w:r>
    </w:p>
    <w:p>
      <w:pPr>
        <w:pStyle w:val="Heading1"/>
      </w:pPr>
      <w:r>
        <w:t>Показатели успеха</w:t>
      </w:r>
    </w:p>
    <w:p>
      <w:pPr>
        <w:pStyle w:val="ListBullet"/>
      </w:pPr>
      <w:r>
        <w:t>Средняя абсолютная процентная ошибка не выше 18%</w:t>
      </w:r>
    </w:p>
    <w:p>
      <w:pPr>
        <w:pStyle w:val="ListBullet"/>
      </w:pPr>
      <w:r>
        <w:t>Уровень сервиса не ниже 97%</w:t>
      </w:r>
    </w:p>
    <w:p>
      <w:pPr>
        <w:pStyle w:val="Heading1"/>
      </w:pPr>
      <w:r>
        <w:t>Ограничения и риски</w:t>
      </w:r>
    </w:p>
    <w:p>
      <w:pPr>
        <w:pStyle w:val="ListBullet"/>
      </w:pPr>
      <w:r>
        <w:t>Праздничные пики могут ухудшить прогноз.</w:t>
      </w:r>
    </w:p>
    <w:p>
      <w:pPr>
        <w:pStyle w:val="ListBullet"/>
      </w:pPr>
      <w:r>
        <w:t>Пропуски телеметрии исказят остатки.</w:t>
      </w:r>
    </w:p>
    <w:p>
      <w:pPr>
        <w:pStyle w:val="ListBullet"/>
      </w:pPr>
      <w:r>
        <w:t>Логистические ограничения могут сделать рекомендации невыполнимыми.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