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F72C2" w:rsidTr="00DB7874">
        <w:tc>
          <w:tcPr>
            <w:tcW w:w="9212" w:type="dxa"/>
            <w:gridSpan w:val="3"/>
            <w:vAlign w:val="center"/>
          </w:tcPr>
          <w:p w:rsidR="00AF72C2" w:rsidRDefault="00AF72C2" w:rsidP="00DB7874">
            <w:pPr>
              <w:jc w:val="center"/>
            </w:pPr>
            <w:r>
              <w:t>Identyfikacja obiektu regulacji.</w:t>
            </w:r>
          </w:p>
        </w:tc>
      </w:tr>
      <w:tr w:rsidR="00AF72C2" w:rsidTr="00DB7874">
        <w:tc>
          <w:tcPr>
            <w:tcW w:w="3070" w:type="dxa"/>
            <w:vAlign w:val="center"/>
          </w:tcPr>
          <w:p w:rsidR="00AF72C2" w:rsidRDefault="00AF72C2" w:rsidP="00DB7874">
            <w:r>
              <w:t>Węgrzyn Paweł</w:t>
            </w:r>
          </w:p>
          <w:p w:rsidR="00AF72C2" w:rsidRDefault="00AF72C2" w:rsidP="00DB7874">
            <w:r>
              <w:t>Roman Michał</w:t>
            </w:r>
          </w:p>
        </w:tc>
        <w:tc>
          <w:tcPr>
            <w:tcW w:w="3071" w:type="dxa"/>
            <w:vAlign w:val="center"/>
          </w:tcPr>
          <w:p w:rsidR="00AF72C2" w:rsidRDefault="00AF72C2" w:rsidP="00DB7874">
            <w:pPr>
              <w:jc w:val="center"/>
            </w:pPr>
            <w:r>
              <w:t>05.04</w:t>
            </w:r>
            <w:r>
              <w:t>.2017r.</w:t>
            </w:r>
          </w:p>
        </w:tc>
        <w:tc>
          <w:tcPr>
            <w:tcW w:w="3071" w:type="dxa"/>
            <w:vAlign w:val="center"/>
          </w:tcPr>
          <w:p w:rsidR="00AF72C2" w:rsidRDefault="00AF72C2" w:rsidP="00DB7874">
            <w:pPr>
              <w:jc w:val="center"/>
            </w:pPr>
            <w:r>
              <w:t>Godz. 9.45</w:t>
            </w:r>
          </w:p>
        </w:tc>
      </w:tr>
    </w:tbl>
    <w:p w:rsidR="003436BF" w:rsidRDefault="003436BF"/>
    <w:p w:rsidR="00AF72C2" w:rsidRPr="00D33F34" w:rsidRDefault="00AF72C2" w:rsidP="00AF72C2">
      <w:pPr>
        <w:pStyle w:val="Akapitzlist"/>
        <w:numPr>
          <w:ilvl w:val="0"/>
          <w:numId w:val="2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AF72C2" w:rsidRDefault="00AF72C2" w:rsidP="00B1793C">
      <w:pPr>
        <w:ind w:left="360"/>
        <w:jc w:val="both"/>
      </w:pPr>
      <w:r>
        <w:t>Celem ćwiczenia było zapoznanie się z podstawowymi metodami i modelami służącymi do identyfikacji parametrów rzeczywistego obiektu regulacji. Najpopularniejsze modele to:</w:t>
      </w:r>
    </w:p>
    <w:p w:rsidR="00AF72C2" w:rsidRPr="00AF72C2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-  model Kupfmullera I rzędu</w:t>
      </w:r>
    </w:p>
    <w:p w:rsidR="00AF72C2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</m:t>
            </m:r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s+1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ab/>
        <w:t>-  model Kupfmullera II rzędu</w:t>
      </w:r>
    </w:p>
    <w:p w:rsidR="00AF72C2" w:rsidRPr="00473C7C" w:rsidRDefault="00AF72C2" w:rsidP="00AF72C2">
      <w:pPr>
        <w:pStyle w:val="Akapitzlis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(Ts+1)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-  model Strejca bez opóźnienia</w:t>
      </w:r>
    </w:p>
    <w:p w:rsidR="00473C7C" w:rsidRPr="00527E70" w:rsidRDefault="00473C7C" w:rsidP="00B1793C">
      <w:pPr>
        <w:ind w:left="732" w:firstLine="348"/>
        <w:jc w:val="both"/>
        <w:rPr>
          <w:b/>
        </w:rPr>
      </w:pPr>
      <w:r w:rsidRPr="00527E70">
        <w:rPr>
          <w:b/>
        </w:rPr>
        <w:t>Metoda wykonania:</w:t>
      </w:r>
    </w:p>
    <w:p w:rsidR="00473C7C" w:rsidRPr="00473C7C" w:rsidRDefault="00473C7C" w:rsidP="00B1793C">
      <w:pPr>
        <w:pStyle w:val="Akapitzlist"/>
        <w:numPr>
          <w:ilvl w:val="1"/>
          <w:numId w:val="2"/>
        </w:numPr>
        <w:jc w:val="both"/>
      </w:pPr>
      <w:r>
        <w:t xml:space="preserve">Wyznaczenie wzmocnienia statycznego k – funkcja </w:t>
      </w:r>
      <w:proofErr w:type="spellStart"/>
      <w:r w:rsidRPr="00473C7C">
        <w:rPr>
          <w:b/>
        </w:rPr>
        <w:t>ginput</w:t>
      </w:r>
      <w:proofErr w:type="spellEnd"/>
      <w:r>
        <w:rPr>
          <w:b/>
        </w:rPr>
        <w:t>,</w:t>
      </w:r>
    </w:p>
    <w:p w:rsidR="00473C7C" w:rsidRDefault="00473C7C" w:rsidP="00B1793C">
      <w:pPr>
        <w:pStyle w:val="Akapitzlist"/>
        <w:numPr>
          <w:ilvl w:val="1"/>
          <w:numId w:val="2"/>
        </w:numPr>
        <w:jc w:val="both"/>
      </w:pPr>
      <w:r>
        <w:t>Wyznaczenie pozostałych parametrów obiektu w sposób możliwie najdokładniejszy, metodą doświadczalną na podstawie wskaźnika całkowego z kwadratu błędu między odpowiedzią obiektu rzeczywistego i odpowiedzią modelu,</w:t>
      </w:r>
    </w:p>
    <w:p w:rsidR="00473C7C" w:rsidRDefault="00473C7C" w:rsidP="00B1793C">
      <w:pPr>
        <w:pStyle w:val="Akapitzlist"/>
        <w:numPr>
          <w:ilvl w:val="1"/>
          <w:numId w:val="2"/>
        </w:numPr>
        <w:jc w:val="both"/>
      </w:pPr>
      <w:r>
        <w:t>Zaimplementowanie funkcji, która otrzymuje przedziały poszczególnych parametrów (dobrane na podstawie poprzedniego podpunktu) i zwraca</w:t>
      </w:r>
      <w:r w:rsidR="00527E70">
        <w:t xml:space="preserve"> najlepsze parametry,</w:t>
      </w:r>
    </w:p>
    <w:p w:rsidR="00AF72C2" w:rsidRPr="00527E70" w:rsidRDefault="00527E70" w:rsidP="00B1793C">
      <w:pPr>
        <w:pStyle w:val="Akapitzlist"/>
        <w:numPr>
          <w:ilvl w:val="1"/>
          <w:numId w:val="2"/>
        </w:numPr>
        <w:jc w:val="both"/>
      </w:pPr>
      <w:r>
        <w:t>Wygenerowanie wykresów obrazujących wyniki identyfikacji.</w:t>
      </w:r>
    </w:p>
    <w:p w:rsidR="00AF72C2" w:rsidRPr="00AF72C2" w:rsidRDefault="00AF72C2" w:rsidP="00AF72C2">
      <w:pPr>
        <w:pStyle w:val="Akapitzlist"/>
        <w:ind w:left="1080"/>
        <w:rPr>
          <w:rFonts w:eastAsiaTheme="minorEastAsia"/>
        </w:rPr>
      </w:pPr>
    </w:p>
    <w:p w:rsidR="00473C7C" w:rsidRDefault="00AF72C2" w:rsidP="00527E70">
      <w:pPr>
        <w:pStyle w:val="Akapitzlist"/>
        <w:numPr>
          <w:ilvl w:val="0"/>
          <w:numId w:val="2"/>
        </w:numPr>
        <w:rPr>
          <w:b/>
          <w:sz w:val="28"/>
        </w:rPr>
      </w:pPr>
      <w:r w:rsidRPr="00AF72C2">
        <w:rPr>
          <w:b/>
          <w:sz w:val="28"/>
        </w:rPr>
        <w:t>Wykonanie ćwiczenia</w:t>
      </w:r>
    </w:p>
    <w:p w:rsidR="00527E70" w:rsidRPr="00527E70" w:rsidRDefault="00527E70" w:rsidP="00527E70">
      <w:pPr>
        <w:pStyle w:val="Akapitzlist"/>
        <w:rPr>
          <w:b/>
          <w:sz w:val="28"/>
        </w:rPr>
      </w:pPr>
    </w:p>
    <w:p w:rsidR="00473C7C" w:rsidRPr="00473C7C" w:rsidRDefault="00473C7C" w:rsidP="00473C7C">
      <w:pPr>
        <w:pStyle w:val="Akapitzlist"/>
        <w:numPr>
          <w:ilvl w:val="1"/>
          <w:numId w:val="2"/>
        </w:numPr>
        <w:rPr>
          <w:sz w:val="24"/>
        </w:rPr>
      </w:pPr>
      <w:r w:rsidRPr="00473C7C">
        <w:rPr>
          <w:sz w:val="24"/>
        </w:rPr>
        <w:t xml:space="preserve">Identyfikacja obiektu przy użyciu modelu </w:t>
      </w:r>
      <w:r w:rsidRPr="00473C7C">
        <w:rPr>
          <w:rFonts w:eastAsiaTheme="minorEastAsia"/>
        </w:rPr>
        <w:t xml:space="preserve">Kupfmullera I rzędu: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:rsidR="00835B2A" w:rsidRPr="00835B2A" w:rsidRDefault="007B0651" w:rsidP="00527E70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3189600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527E70" w:rsidP="007B0651">
      <w:pPr>
        <w:keepNext/>
        <w:ind w:left="708"/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 wp14:anchorId="600D61F7" wp14:editId="7C741B2A">
            <wp:extent cx="5040000" cy="3211200"/>
            <wp:effectExtent l="0" t="0" r="825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5"/>
                    <a:stretch/>
                  </pic:blipFill>
                  <pic:spPr bwMode="auto">
                    <a:xfrm>
                      <a:off x="0" y="0"/>
                      <a:ext cx="5040000" cy="32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70" w:rsidRDefault="007B0651" w:rsidP="007B0651">
      <w:pPr>
        <w:pStyle w:val="Legenda"/>
        <w:ind w:firstLine="708"/>
        <w:jc w:val="center"/>
      </w:pPr>
      <w:r>
        <w:t>Wskaźnik całkowy - model Kupfmullera I rzędu</w:t>
      </w:r>
    </w:p>
    <w:p w:rsidR="007B0651" w:rsidRPr="007B0651" w:rsidRDefault="007B0651" w:rsidP="007B0651"/>
    <w:p w:rsidR="00527E70" w:rsidRDefault="00835B2A" w:rsidP="00B1793C">
      <w:pPr>
        <w:ind w:left="708"/>
        <w:jc w:val="both"/>
        <w:rPr>
          <w:szCs w:val="24"/>
        </w:rPr>
      </w:pPr>
      <w:r>
        <w:rPr>
          <w:szCs w:val="24"/>
        </w:rPr>
        <w:t>Widzimy że dla tego modelu największy wpływ na jakość dopasowania ma początkowa faza odpowiedzi obiektu – widzimy że charakterystyka obiektu rzeczywistego ma dwa punkty przegięcia, a więc lepsze dopasowanie z pewnością otrzymamy dla modelu wyższego rzędu niż dla I rzędu.</w:t>
      </w:r>
    </w:p>
    <w:p w:rsidR="00835B2A" w:rsidRDefault="00835B2A" w:rsidP="00527E70">
      <w:pPr>
        <w:ind w:left="708"/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5032800" cy="3225600"/>
            <wp:effectExtent l="19050" t="19050" r="15875" b="133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y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0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B2A" w:rsidRPr="00835B2A" w:rsidRDefault="00835B2A" w:rsidP="00B1793C">
      <w:pPr>
        <w:ind w:left="708"/>
        <w:jc w:val="both"/>
        <w:rPr>
          <w:szCs w:val="24"/>
        </w:rPr>
      </w:pPr>
      <w:r>
        <w:rPr>
          <w:szCs w:val="24"/>
        </w:rPr>
        <w:t>Powyższą funkcję wykorzystaliśmy do szukania najlepszych parametrów modelu I rzędu opisującego badany obiekt. Po lekkich modyfikacjach można ją wykorzystać przy innym modelu, co wykorzystamy w kolejnym etapie pracy.</w:t>
      </w:r>
    </w:p>
    <w:p w:rsidR="007B0651" w:rsidRPr="00B1793C" w:rsidRDefault="007B0651" w:rsidP="00B1793C">
      <w:pPr>
        <w:pStyle w:val="Akapitzlist"/>
        <w:numPr>
          <w:ilvl w:val="1"/>
          <w:numId w:val="2"/>
        </w:numPr>
        <w:rPr>
          <w:sz w:val="24"/>
        </w:rPr>
      </w:pPr>
      <w:r w:rsidRPr="00B1793C">
        <w:rPr>
          <w:sz w:val="24"/>
        </w:rPr>
        <w:lastRenderedPageBreak/>
        <w:t xml:space="preserve">Identyfikacja przy użyciu modelu </w:t>
      </w:r>
      <w:r w:rsidRPr="00B1793C">
        <w:rPr>
          <w:rFonts w:eastAsiaTheme="minorEastAsia"/>
        </w:rPr>
        <w:t>Kupfmullera I</w:t>
      </w:r>
      <w:r w:rsidR="00B1793C">
        <w:rPr>
          <w:rFonts w:eastAsiaTheme="minorEastAsia"/>
        </w:rPr>
        <w:t>I</w:t>
      </w:r>
      <w:r w:rsidRPr="00B1793C">
        <w:rPr>
          <w:rFonts w:eastAsiaTheme="minorEastAsia"/>
        </w:rPr>
        <w:t xml:space="preserve"> rzędu: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s+1)</m:t>
            </m:r>
          </m:den>
        </m:f>
      </m:oMath>
    </w:p>
    <w:p w:rsidR="007B0651" w:rsidRDefault="007B0651" w:rsidP="007B0651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2992222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7B0651" w:rsidP="007B0651">
      <w:pPr>
        <w:ind w:left="708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3403889"/>
            <wp:effectExtent l="0" t="0" r="8255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51" w:rsidRDefault="007B0651" w:rsidP="007B0651">
      <w:pPr>
        <w:pStyle w:val="Legenda"/>
        <w:ind w:firstLine="708"/>
        <w:jc w:val="center"/>
      </w:pPr>
      <w:r>
        <w:t>Wskaźn</w:t>
      </w:r>
      <w:r>
        <w:t>ik całkowy - model Kupfmullera II</w:t>
      </w:r>
      <w:r>
        <w:t xml:space="preserve"> rzędu</w:t>
      </w:r>
    </w:p>
    <w:p w:rsidR="007B0651" w:rsidRDefault="007B0651" w:rsidP="007B0651"/>
    <w:p w:rsidR="007B0651" w:rsidRDefault="007B0651" w:rsidP="00B1793C">
      <w:pPr>
        <w:ind w:left="708"/>
        <w:jc w:val="both"/>
      </w:pPr>
      <w:r>
        <w:t xml:space="preserve">Analizując odpowiedzi dla tego modelu widzimy, że nasze przypuszczenia się </w:t>
      </w:r>
      <w:r w:rsidR="00B1793C">
        <w:br/>
      </w:r>
      <w:r>
        <w:t>potwierdziły – lepsze dopasowanie uzyskaliśmy dla modelu o wyższym rzędzie</w:t>
      </w:r>
      <w:r w:rsidR="00B1793C">
        <w:t xml:space="preserve">. Potwierdza to wskaźnik całkowy, który jest o jeden rząd wielkości mniejszy niż dla modelu Kupfmullera </w:t>
      </w:r>
      <w:r w:rsidR="00B1793C">
        <w:br/>
        <w:t>I rzędu. Identyfikacja obiektu dała dobry, zadowalający wynik.</w:t>
      </w:r>
    </w:p>
    <w:p w:rsidR="00B1793C" w:rsidRDefault="00B1793C" w:rsidP="00B1793C">
      <w:pPr>
        <w:ind w:left="708"/>
        <w:jc w:val="both"/>
      </w:pPr>
    </w:p>
    <w:p w:rsidR="00B1793C" w:rsidRPr="00B1793C" w:rsidRDefault="00B1793C" w:rsidP="00B1793C">
      <w:pPr>
        <w:ind w:firstLine="708"/>
        <w:jc w:val="both"/>
      </w:pPr>
      <w:r>
        <w:lastRenderedPageBreak/>
        <w:t xml:space="preserve">c)    Identyfikacja obiektu przy pomocy modelu Strejca bez opóźnienia: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(Ts+1)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B1793C">
        <w:rPr>
          <w:rFonts w:eastAsiaTheme="minorEastAsia"/>
        </w:rPr>
        <w:tab/>
      </w:r>
    </w:p>
    <w:p w:rsidR="00B1793C" w:rsidRPr="00B1793C" w:rsidRDefault="00B1793C" w:rsidP="00B1793C">
      <w:pPr>
        <w:jc w:val="center"/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 wp14:anchorId="5731ACFF" wp14:editId="27C68A4E">
            <wp:extent cx="5040000" cy="3382111"/>
            <wp:effectExtent l="0" t="0" r="8255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yfikacja_III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/>
                    <a:stretch/>
                  </pic:blipFill>
                  <pic:spPr bwMode="auto">
                    <a:xfrm>
                      <a:off x="0" y="0"/>
                      <a:ext cx="5040000" cy="338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3C" w:rsidRPr="00B1793C" w:rsidRDefault="00B1793C" w:rsidP="00B1793C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noProof/>
          <w:sz w:val="28"/>
          <w:lang w:eastAsia="pl-PL"/>
        </w:rPr>
        <w:drawing>
          <wp:inline distT="0" distB="0" distL="0" distR="0">
            <wp:extent cx="5040000" cy="3261600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łka_III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4"/>
                    <a:stretch/>
                  </pic:blipFill>
                  <pic:spPr bwMode="auto">
                    <a:xfrm>
                      <a:off x="0" y="0"/>
                      <a:ext cx="5040000" cy="32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AD2" w:rsidRDefault="00B1793C" w:rsidP="004D3AD2">
      <w:pPr>
        <w:pStyle w:val="Legenda"/>
        <w:ind w:left="1416" w:firstLine="708"/>
      </w:pPr>
      <w:r>
        <w:t xml:space="preserve">         </w:t>
      </w:r>
      <w:r>
        <w:t xml:space="preserve">Wskaźnik całkowy - model </w:t>
      </w:r>
      <w:r>
        <w:t>Strejca I</w:t>
      </w:r>
      <w:r>
        <w:t xml:space="preserve"> rzędu</w:t>
      </w:r>
      <w:r>
        <w:t xml:space="preserve"> bez opóźnienia</w:t>
      </w:r>
    </w:p>
    <w:p w:rsidR="004D3AD2" w:rsidRPr="004D3AD2" w:rsidRDefault="004D3AD2" w:rsidP="004D3AD2"/>
    <w:p w:rsidR="00B1793C" w:rsidRPr="00B1793C" w:rsidRDefault="004D3AD2" w:rsidP="004D3AD2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Model Strejca I rzędu bez opóźnienia dał gorsze wyniki niż model Kupfmullera II rzędu. Wiąże się to z tym, że badany obiekt rzeczywisty ma opóźnienie, co widać bardzo wyraźnie na jego charakterystyce skokowej. Dlatego dla modelu uwzględniającego to opóźnienie otrzymujemy mniejszą wartość wskaźnika całkowego.</w:t>
      </w:r>
      <w:bookmarkStart w:id="0" w:name="_GoBack"/>
      <w:bookmarkEnd w:id="0"/>
    </w:p>
    <w:sectPr w:rsidR="00B1793C" w:rsidRPr="00B1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4C27"/>
    <w:multiLevelType w:val="hybridMultilevel"/>
    <w:tmpl w:val="63FC29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0D632A"/>
    <w:multiLevelType w:val="hybridMultilevel"/>
    <w:tmpl w:val="BCFE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B6DF58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522E7"/>
    <w:multiLevelType w:val="hybridMultilevel"/>
    <w:tmpl w:val="6B9A763C"/>
    <w:lvl w:ilvl="0" w:tplc="7CB6DF58">
      <w:start w:val="1"/>
      <w:numFmt w:val="lowerLetter"/>
      <w:lvlText w:val="%1)"/>
      <w:lvlJc w:val="left"/>
      <w:pPr>
        <w:ind w:left="1440" w:hanging="360"/>
      </w:pPr>
      <w:rPr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8E332E"/>
    <w:multiLevelType w:val="hybridMultilevel"/>
    <w:tmpl w:val="852A2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C2"/>
    <w:rsid w:val="003436BF"/>
    <w:rsid w:val="00473C7C"/>
    <w:rsid w:val="004D3AD2"/>
    <w:rsid w:val="00527E70"/>
    <w:rsid w:val="007B0651"/>
    <w:rsid w:val="00835B2A"/>
    <w:rsid w:val="00AF72C2"/>
    <w:rsid w:val="00B1793C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2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72C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72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2C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B06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2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F72C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72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2C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B06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367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2017-04-05T15:22:00Z</dcterms:created>
  <dcterms:modified xsi:type="dcterms:W3CDTF">2017-04-05T16:29:00Z</dcterms:modified>
</cp:coreProperties>
</file>