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72FF" w14:textId="6636C073" w:rsidR="006075F4" w:rsidRPr="003B3320" w:rsidRDefault="00532D84">
      <w:pPr>
        <w:rPr>
          <w:b/>
          <w:bCs/>
        </w:rPr>
      </w:pPr>
      <w:r w:rsidRPr="003B3320">
        <w:rPr>
          <w:b/>
          <w:bCs/>
        </w:rPr>
        <w:t>Input:</w:t>
      </w:r>
    </w:p>
    <w:p w14:paraId="2D7E7C21" w14:textId="77777777" w:rsidR="003B3320" w:rsidRPr="003B3320" w:rsidRDefault="003B3320" w:rsidP="003B3320">
      <w:pPr>
        <w:rPr>
          <w:b/>
          <w:bCs/>
        </w:rPr>
      </w:pPr>
      <w:r w:rsidRPr="003B3320">
        <w:rPr>
          <w:b/>
          <w:bCs/>
        </w:rPr>
        <w:t>Q4 2025 Global Operations Performance Report</w:t>
      </w:r>
    </w:p>
    <w:p w14:paraId="686CD773" w14:textId="77777777" w:rsidR="003B3320" w:rsidRPr="003B3320" w:rsidRDefault="003B3320" w:rsidP="003B3320">
      <w:r w:rsidRPr="003B3320">
        <w:rPr>
          <w:b/>
          <w:bCs/>
        </w:rPr>
        <w:t>1. Executive Overview</w:t>
      </w:r>
      <w:r w:rsidRPr="003B3320">
        <w:t xml:space="preserve"> The fourth quarter of 2025 was characterized by strong revenue growth but significant pressure on operational margins. Total revenue reached $15.4 million, a 14% increase over Q3, driven largely by the </w:t>
      </w:r>
      <w:proofErr w:type="gramStart"/>
      <w:r w:rsidRPr="003B3320">
        <w:t>high-performance</w:t>
      </w:r>
      <w:proofErr w:type="gramEnd"/>
      <w:r w:rsidRPr="003B3320">
        <w:t xml:space="preserve"> "Nexus" hardware line. However, the cost of goods sold (COGS) rose by 9% due to an unexpected increase in lithium-ion battery costs and a 15% spike in trans-Pacific shipping rates during November.</w:t>
      </w:r>
    </w:p>
    <w:p w14:paraId="32925256" w14:textId="77777777" w:rsidR="003B3320" w:rsidRPr="003B3320" w:rsidRDefault="003B3320" w:rsidP="003B3320">
      <w:r w:rsidRPr="003B3320">
        <w:rPr>
          <w:b/>
          <w:bCs/>
        </w:rPr>
        <w:t>2. Key Performance Indicators (KPIs)</w:t>
      </w:r>
    </w:p>
    <w:p w14:paraId="326D74E0" w14:textId="77777777" w:rsidR="003B3320" w:rsidRPr="003B3320" w:rsidRDefault="003B3320" w:rsidP="003B3320">
      <w:pPr>
        <w:numPr>
          <w:ilvl w:val="0"/>
          <w:numId w:val="1"/>
        </w:numPr>
      </w:pPr>
      <w:r w:rsidRPr="003B3320">
        <w:rPr>
          <w:b/>
          <w:bCs/>
        </w:rPr>
        <w:t>Net Revenue:</w:t>
      </w:r>
      <w:r w:rsidRPr="003B3320">
        <w:t xml:space="preserve"> $15.4M (Target: $14.5M)</w:t>
      </w:r>
    </w:p>
    <w:p w14:paraId="2C2981BA" w14:textId="77777777" w:rsidR="003B3320" w:rsidRPr="003B3320" w:rsidRDefault="003B3320" w:rsidP="003B3320">
      <w:pPr>
        <w:numPr>
          <w:ilvl w:val="0"/>
          <w:numId w:val="1"/>
        </w:numPr>
      </w:pPr>
      <w:r w:rsidRPr="003B3320">
        <w:rPr>
          <w:b/>
          <w:bCs/>
        </w:rPr>
        <w:t>Gross Margin:</w:t>
      </w:r>
      <w:r w:rsidRPr="003B3320">
        <w:t xml:space="preserve"> 38.5% (Target: 41.0%)</w:t>
      </w:r>
    </w:p>
    <w:p w14:paraId="4F6299EE" w14:textId="77777777" w:rsidR="003B3320" w:rsidRPr="003B3320" w:rsidRDefault="003B3320" w:rsidP="003B3320">
      <w:pPr>
        <w:numPr>
          <w:ilvl w:val="0"/>
          <w:numId w:val="1"/>
        </w:numPr>
      </w:pPr>
      <w:r w:rsidRPr="003B3320">
        <w:rPr>
          <w:b/>
          <w:bCs/>
        </w:rPr>
        <w:t>Customer Retention:</w:t>
      </w:r>
      <w:r w:rsidRPr="003B3320">
        <w:t xml:space="preserve"> 94% (Target: 92%)</w:t>
      </w:r>
    </w:p>
    <w:p w14:paraId="14B825BE" w14:textId="77777777" w:rsidR="003B3320" w:rsidRPr="003B3320" w:rsidRDefault="003B3320" w:rsidP="003B3320">
      <w:pPr>
        <w:numPr>
          <w:ilvl w:val="0"/>
          <w:numId w:val="1"/>
        </w:numPr>
      </w:pPr>
      <w:r w:rsidRPr="003B3320">
        <w:rPr>
          <w:b/>
          <w:bCs/>
        </w:rPr>
        <w:t>Operating Expenses:</w:t>
      </w:r>
      <w:r w:rsidRPr="003B3320">
        <w:t xml:space="preserve"> $4.2M (Target: $4.0M)</w:t>
      </w:r>
    </w:p>
    <w:p w14:paraId="778C9B2C" w14:textId="77777777" w:rsidR="003B3320" w:rsidRPr="003B3320" w:rsidRDefault="003B3320" w:rsidP="003B3320">
      <w:pPr>
        <w:numPr>
          <w:ilvl w:val="0"/>
          <w:numId w:val="1"/>
        </w:numPr>
      </w:pPr>
      <w:r w:rsidRPr="003B3320">
        <w:rPr>
          <w:b/>
          <w:bCs/>
        </w:rPr>
        <w:t>Net Promoter Score (NPS):</w:t>
      </w:r>
      <w:r w:rsidRPr="003B3320">
        <w:t xml:space="preserve"> 78 (Previous: 72)</w:t>
      </w:r>
    </w:p>
    <w:p w14:paraId="6829ED2E" w14:textId="77777777" w:rsidR="003B3320" w:rsidRPr="003B3320" w:rsidRDefault="003B3320" w:rsidP="003B3320">
      <w:r w:rsidRPr="003B3320">
        <w:rPr>
          <w:b/>
          <w:bCs/>
        </w:rPr>
        <w:t>3. Regional Performance</w:t>
      </w:r>
    </w:p>
    <w:p w14:paraId="2B7CE3D7" w14:textId="77777777" w:rsidR="003B3320" w:rsidRPr="003B3320" w:rsidRDefault="003B3320" w:rsidP="003B3320">
      <w:pPr>
        <w:numPr>
          <w:ilvl w:val="0"/>
          <w:numId w:val="2"/>
        </w:numPr>
      </w:pPr>
      <w:r w:rsidRPr="003B3320">
        <w:rPr>
          <w:b/>
          <w:bCs/>
        </w:rPr>
        <w:t>North America:</w:t>
      </w:r>
      <w:r w:rsidRPr="003B3320">
        <w:t xml:space="preserve"> Outperformed expectations with 22% growth in the enterprise sector.</w:t>
      </w:r>
    </w:p>
    <w:p w14:paraId="713D78AF" w14:textId="77777777" w:rsidR="003B3320" w:rsidRPr="003B3320" w:rsidRDefault="003B3320" w:rsidP="003B3320">
      <w:pPr>
        <w:numPr>
          <w:ilvl w:val="0"/>
          <w:numId w:val="2"/>
        </w:numPr>
      </w:pPr>
      <w:r w:rsidRPr="003B3320">
        <w:rPr>
          <w:b/>
          <w:bCs/>
        </w:rPr>
        <w:t>EMEA:</w:t>
      </w:r>
      <w:r w:rsidRPr="003B3320">
        <w:t xml:space="preserve"> Remained stagnant due to new energy compliance regulations impacting manufacturing timelines.</w:t>
      </w:r>
    </w:p>
    <w:p w14:paraId="5E4BB9A6" w14:textId="77777777" w:rsidR="003B3320" w:rsidRPr="003B3320" w:rsidRDefault="003B3320" w:rsidP="003B3320">
      <w:pPr>
        <w:numPr>
          <w:ilvl w:val="0"/>
          <w:numId w:val="2"/>
        </w:numPr>
      </w:pPr>
      <w:r w:rsidRPr="003B3320">
        <w:rPr>
          <w:b/>
          <w:bCs/>
        </w:rPr>
        <w:t>APAC:</w:t>
      </w:r>
      <w:r w:rsidRPr="003B3320">
        <w:t xml:space="preserve"> Faced logistics bottlenecks, though consumer demand remained at record highs.</w:t>
      </w:r>
    </w:p>
    <w:p w14:paraId="1A1DFAAF" w14:textId="77777777" w:rsidR="003B3320" w:rsidRPr="003B3320" w:rsidRDefault="003B3320" w:rsidP="003B3320">
      <w:r w:rsidRPr="003B3320">
        <w:rPr>
          <w:b/>
          <w:bCs/>
        </w:rPr>
        <w:t>4. Risks and Forward-Looking Opportunities</w:t>
      </w:r>
    </w:p>
    <w:p w14:paraId="0B26DC33" w14:textId="77777777" w:rsidR="003B3320" w:rsidRPr="003B3320" w:rsidRDefault="003B3320" w:rsidP="003B3320">
      <w:pPr>
        <w:numPr>
          <w:ilvl w:val="0"/>
          <w:numId w:val="3"/>
        </w:numPr>
      </w:pPr>
      <w:r w:rsidRPr="003B3320">
        <w:rPr>
          <w:b/>
          <w:bCs/>
        </w:rPr>
        <w:t>Risk - Regulatory Compliance:</w:t>
      </w:r>
      <w:r w:rsidRPr="003B3320">
        <w:t xml:space="preserve"> New EU environmental mandates (Policy 2026-A) may require a full redesign of the Nexus cooling system by Q3 2026, potentially costing $1.2M in R&amp;D.</w:t>
      </w:r>
    </w:p>
    <w:p w14:paraId="6CDA5516" w14:textId="77777777" w:rsidR="003B3320" w:rsidRPr="003B3320" w:rsidRDefault="003B3320" w:rsidP="003B3320">
      <w:pPr>
        <w:numPr>
          <w:ilvl w:val="0"/>
          <w:numId w:val="3"/>
        </w:numPr>
      </w:pPr>
      <w:r w:rsidRPr="003B3320">
        <w:rPr>
          <w:b/>
          <w:bCs/>
        </w:rPr>
        <w:t>Risk - Supply Chain:</w:t>
      </w:r>
      <w:r w:rsidRPr="003B3320">
        <w:t xml:space="preserve"> Over-reliance on a single vendor for semiconductors in Taiwan remains a critical vulnerability.</w:t>
      </w:r>
    </w:p>
    <w:p w14:paraId="0EFF0E8D" w14:textId="77777777" w:rsidR="003B3320" w:rsidRPr="003B3320" w:rsidRDefault="003B3320" w:rsidP="003B3320">
      <w:pPr>
        <w:numPr>
          <w:ilvl w:val="0"/>
          <w:numId w:val="3"/>
        </w:numPr>
      </w:pPr>
      <w:r w:rsidRPr="003B3320">
        <w:rPr>
          <w:b/>
          <w:bCs/>
        </w:rPr>
        <w:t>Opportunity - Subscription Model:</w:t>
      </w:r>
      <w:r w:rsidRPr="003B3320">
        <w:t xml:space="preserve"> Trial runs for the "Nexus-as-a-Service" model showed a 40% conversion rate among small businesses, suggesting a path to recurring revenue.</w:t>
      </w:r>
    </w:p>
    <w:p w14:paraId="69DDFDE1" w14:textId="77777777" w:rsidR="003B3320" w:rsidRPr="003B3320" w:rsidRDefault="003B3320" w:rsidP="003B3320">
      <w:pPr>
        <w:numPr>
          <w:ilvl w:val="0"/>
          <w:numId w:val="3"/>
        </w:numPr>
      </w:pPr>
      <w:r w:rsidRPr="003B3320">
        <w:rPr>
          <w:b/>
          <w:bCs/>
        </w:rPr>
        <w:lastRenderedPageBreak/>
        <w:t>Opportunity - Automation:</w:t>
      </w:r>
      <w:r w:rsidRPr="003B3320">
        <w:t xml:space="preserve"> Implementing AI-driven warehouse sorting is projected to reduce labor costs by 12% starting in Q2.</w:t>
      </w:r>
    </w:p>
    <w:p w14:paraId="60C1B334" w14:textId="77777777" w:rsidR="00532D84" w:rsidRDefault="00532D84"/>
    <w:p w14:paraId="0911AD0A" w14:textId="3E624EC8" w:rsidR="00532D84" w:rsidRPr="003B3320" w:rsidRDefault="00532D84">
      <w:pPr>
        <w:rPr>
          <w:b/>
          <w:bCs/>
        </w:rPr>
      </w:pPr>
      <w:proofErr w:type="gramStart"/>
      <w:r w:rsidRPr="003B3320">
        <w:rPr>
          <w:b/>
          <w:bCs/>
        </w:rPr>
        <w:t>Output :</w:t>
      </w:r>
      <w:proofErr w:type="gramEnd"/>
    </w:p>
    <w:p w14:paraId="2595F150" w14:textId="77777777" w:rsidR="003B3320" w:rsidRDefault="003B3320" w:rsidP="003B3320">
      <w:r>
        <w:t>Assistant Analysis:</w:t>
      </w:r>
    </w:p>
    <w:p w14:paraId="045762C8" w14:textId="77777777" w:rsidR="003B3320" w:rsidRDefault="003B3320" w:rsidP="003B3320"/>
    <w:p w14:paraId="27754888" w14:textId="77777777" w:rsidR="003B3320" w:rsidRDefault="003B3320" w:rsidP="003B3320">
      <w:r>
        <w:t>## Q4 2025 Global Operations Performance Report Summary</w:t>
      </w:r>
    </w:p>
    <w:p w14:paraId="596C53E2" w14:textId="77777777" w:rsidR="003B3320" w:rsidRDefault="003B3320" w:rsidP="003B3320"/>
    <w:p w14:paraId="2BDAF412" w14:textId="77777777" w:rsidR="003B3320" w:rsidRDefault="003B3320" w:rsidP="003B3320">
      <w:r>
        <w:t>Q4 2025 saw strong revenue growth fueled primarily by the "Nexus" hardware line, reaching $15.4 million – a 14% increase over Q3 despite facing significant pressure on operational margins.  Gross margin hit 38.5%, slightly below the target of 41.0%.  North America outperformed expectations with strong enterprise sector growth. However, challenges arose from increased lithium-ion battery costs and trans-Pacific shipping rate spikes, contributing to a COGS increase by 9% and impacting operational profitability. Despite these headwinds, the company achieved a Customer Retention rate of 94%, exceeding the target of 92%.  A positive sign emerged with a 40% conversion rate for the "Nexus-as-a-Service" model among small businesses, indicating potential for recurring revenue.</w:t>
      </w:r>
    </w:p>
    <w:p w14:paraId="09D230C2" w14:textId="77777777" w:rsidR="003B3320" w:rsidRDefault="003B3320" w:rsidP="003B3320"/>
    <w:p w14:paraId="5FA52A43" w14:textId="77777777" w:rsidR="003B3320" w:rsidRDefault="003B3320" w:rsidP="003B3320">
      <w:r>
        <w:t xml:space="preserve">**Key Metrics </w:t>
      </w:r>
      <w:proofErr w:type="gramStart"/>
      <w:r>
        <w:t>Table:*</w:t>
      </w:r>
      <w:proofErr w:type="gramEnd"/>
      <w:r>
        <w:t>*</w:t>
      </w:r>
    </w:p>
    <w:p w14:paraId="5E53377C" w14:textId="77777777" w:rsidR="003B3320" w:rsidRDefault="003B3320" w:rsidP="003B3320"/>
    <w:p w14:paraId="39848682" w14:textId="77777777" w:rsidR="003B3320" w:rsidRDefault="003B3320" w:rsidP="003B3320">
      <w:r>
        <w:t>| Metric                  | Q4 2025 (Actual) | Target     | % Change (Q3 to Q4</w:t>
      </w:r>
      <w:proofErr w:type="gramStart"/>
      <w:r>
        <w:t>)  |</w:t>
      </w:r>
      <w:proofErr w:type="gramEnd"/>
      <w:r>
        <w:t xml:space="preserve"> Source       |        </w:t>
      </w:r>
    </w:p>
    <w:p w14:paraId="2C2909BC" w14:textId="77777777" w:rsidR="003B3320" w:rsidRDefault="003B3320" w:rsidP="003B3320">
      <w:r>
        <w:t>|------------------------|-----------------|------------|-------------------|--------------|</w:t>
      </w:r>
    </w:p>
    <w:p w14:paraId="3D674957" w14:textId="77777777" w:rsidR="003B3320" w:rsidRDefault="003B3320" w:rsidP="003B3320">
      <w:r>
        <w:t>| Net Revenue           | $15.4M          | $14.5M    | +14%           | [</w:t>
      </w:r>
      <w:proofErr w:type="gramStart"/>
      <w:r>
        <w:t xml:space="preserve">Source]   </w:t>
      </w:r>
      <w:proofErr w:type="gramEnd"/>
      <w:r>
        <w:t xml:space="preserve">   |</w:t>
      </w:r>
    </w:p>
    <w:p w14:paraId="3E75527E" w14:textId="77777777" w:rsidR="003B3320" w:rsidRDefault="003B3320" w:rsidP="003B3320">
      <w:r>
        <w:t xml:space="preserve">| Gross Margin          | 38.5%            | 41.0%     </w:t>
      </w:r>
      <w:proofErr w:type="gramStart"/>
      <w:r>
        <w:t>|  -</w:t>
      </w:r>
      <w:proofErr w:type="gramEnd"/>
      <w:r>
        <w:t>2.5%           | [</w:t>
      </w:r>
      <w:proofErr w:type="gramStart"/>
      <w:r>
        <w:t xml:space="preserve">Source]   </w:t>
      </w:r>
      <w:proofErr w:type="gramEnd"/>
      <w:r>
        <w:t xml:space="preserve">   |</w:t>
      </w:r>
    </w:p>
    <w:p w14:paraId="35EA74FB" w14:textId="77777777" w:rsidR="003B3320" w:rsidRDefault="003B3320" w:rsidP="003B3320">
      <w:r>
        <w:t xml:space="preserve">| Customer Retention   | 94%               | 92%       </w:t>
      </w:r>
      <w:proofErr w:type="gramStart"/>
      <w:r>
        <w:t>|  +</w:t>
      </w:r>
      <w:proofErr w:type="gramEnd"/>
      <w:r>
        <w:t>2%             | [</w:t>
      </w:r>
      <w:proofErr w:type="gramStart"/>
      <w:r>
        <w:t xml:space="preserve">Source]   </w:t>
      </w:r>
      <w:proofErr w:type="gramEnd"/>
      <w:r>
        <w:t xml:space="preserve">   |</w:t>
      </w:r>
    </w:p>
    <w:p w14:paraId="7E96866A" w14:textId="77777777" w:rsidR="003B3320" w:rsidRDefault="003B3320" w:rsidP="003B3320"/>
    <w:p w14:paraId="6FAF8A6A" w14:textId="77777777" w:rsidR="003B3320" w:rsidRDefault="003B3320" w:rsidP="003B3320"/>
    <w:p w14:paraId="3C5DF2BA" w14:textId="77777777" w:rsidR="003B3320" w:rsidRDefault="003B3320" w:rsidP="003B3320">
      <w:r>
        <w:t xml:space="preserve">**Risks and </w:t>
      </w:r>
      <w:proofErr w:type="gramStart"/>
      <w:r>
        <w:t>Opportunities:*</w:t>
      </w:r>
      <w:proofErr w:type="gramEnd"/>
      <w:r>
        <w:t>*</w:t>
      </w:r>
    </w:p>
    <w:p w14:paraId="7B35AAE6" w14:textId="77777777" w:rsidR="003B3320" w:rsidRDefault="003B3320" w:rsidP="003B3320"/>
    <w:p w14:paraId="54EA37E2" w14:textId="77777777" w:rsidR="003B3320" w:rsidRDefault="003B3320" w:rsidP="003B3320">
      <w:r>
        <w:lastRenderedPageBreak/>
        <w:t xml:space="preserve">* **Risk - Regulatory </w:t>
      </w:r>
      <w:proofErr w:type="gramStart"/>
      <w:r>
        <w:t>Compliance:*</w:t>
      </w:r>
      <w:proofErr w:type="gramEnd"/>
      <w:r>
        <w:t>* New EU environmental mandates (Policy 2026-A) require a full redesign of the Nexus cooling system, potentially costing $1.2M in R&amp;D by Q3 2026.</w:t>
      </w:r>
    </w:p>
    <w:p w14:paraId="386EBC88" w14:textId="77777777" w:rsidR="003B3320" w:rsidRDefault="003B3320" w:rsidP="003B3320">
      <w:r>
        <w:t xml:space="preserve">* **Opportunity - Subscription </w:t>
      </w:r>
      <w:proofErr w:type="gramStart"/>
      <w:r>
        <w:t>Model:*</w:t>
      </w:r>
      <w:proofErr w:type="gramEnd"/>
      <w:r>
        <w:t>* Trial runs for "Nexus-as-a-Service" showed a 40% conversion rate among small businesses, suggesting a path to recurring revenue. This could contribute significantly to stable revenue streams and potentially lower churn rates.</w:t>
      </w:r>
    </w:p>
    <w:p w14:paraId="1568C445" w14:textId="0B4388AC" w:rsidR="00532D84" w:rsidRDefault="003B3320" w:rsidP="003B3320">
      <w:r>
        <w:t xml:space="preserve">* **Opportunity - </w:t>
      </w:r>
      <w:proofErr w:type="gramStart"/>
      <w:r>
        <w:t>Automation:*</w:t>
      </w:r>
      <w:proofErr w:type="gramEnd"/>
      <w:r>
        <w:t>* Implementing AI-driven warehouse sorting is projected to reduce labor costs by 12%, starting in Q2. This can help drive operational efficiency and cost savings, while contributing to higher productivity levels.</w:t>
      </w:r>
    </w:p>
    <w:p w14:paraId="421D4A3A" w14:textId="1FAA16BC" w:rsidR="00532D84" w:rsidRPr="00532D84" w:rsidRDefault="00532D84">
      <w:pPr>
        <w:rPr>
          <w:b/>
          <w:bCs/>
        </w:rPr>
      </w:pPr>
      <w:r w:rsidRPr="00532D84">
        <w:rPr>
          <w:b/>
          <w:bCs/>
        </w:rPr>
        <w:t>Screenshot</w:t>
      </w:r>
      <w:r w:rsidR="003B3320">
        <w:rPr>
          <w:b/>
          <w:bCs/>
        </w:rPr>
        <w:t>s</w:t>
      </w:r>
      <w:r w:rsidRPr="00532D84">
        <w:rPr>
          <w:b/>
          <w:bCs/>
        </w:rPr>
        <w:t>:</w:t>
      </w:r>
    </w:p>
    <w:p w14:paraId="6A3E4554" w14:textId="7FCC1A57" w:rsidR="00532D84" w:rsidRDefault="00532D84">
      <w:r w:rsidRPr="00532D84">
        <w:drawing>
          <wp:inline distT="0" distB="0" distL="0" distR="0" wp14:anchorId="541B67BA" wp14:editId="5AFE6415">
            <wp:extent cx="5943600" cy="4272915"/>
            <wp:effectExtent l="0" t="0" r="0" b="0"/>
            <wp:docPr id="18315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5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EF26" w14:textId="0025D855" w:rsidR="00532D84" w:rsidRDefault="0097467A">
      <w:r w:rsidRPr="0097467A">
        <w:lastRenderedPageBreak/>
        <w:drawing>
          <wp:inline distT="0" distB="0" distL="0" distR="0" wp14:anchorId="46E8F624" wp14:editId="077A8CDD">
            <wp:extent cx="5943600" cy="4366260"/>
            <wp:effectExtent l="0" t="0" r="0" b="0"/>
            <wp:docPr id="201121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3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3D0A" w14:textId="5B36F3E0" w:rsidR="00532D84" w:rsidRPr="003B3320" w:rsidRDefault="00532D84">
      <w:pPr>
        <w:rPr>
          <w:b/>
          <w:bCs/>
        </w:rPr>
      </w:pPr>
      <w:r w:rsidRPr="003B3320">
        <w:rPr>
          <w:b/>
          <w:bCs/>
        </w:rPr>
        <w:t>Git Link:</w:t>
      </w:r>
    </w:p>
    <w:p w14:paraId="02A97D0C" w14:textId="77777777" w:rsidR="00532D84" w:rsidRDefault="00532D84"/>
    <w:sectPr w:rsidR="0053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E4749"/>
    <w:multiLevelType w:val="multilevel"/>
    <w:tmpl w:val="FC1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66172"/>
    <w:multiLevelType w:val="multilevel"/>
    <w:tmpl w:val="31C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161BB"/>
    <w:multiLevelType w:val="multilevel"/>
    <w:tmpl w:val="FCB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22005">
    <w:abstractNumId w:val="1"/>
  </w:num>
  <w:num w:numId="2" w16cid:durableId="498694343">
    <w:abstractNumId w:val="2"/>
  </w:num>
  <w:num w:numId="3" w16cid:durableId="13704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A5"/>
    <w:rsid w:val="00212AA5"/>
    <w:rsid w:val="003B3320"/>
    <w:rsid w:val="00474627"/>
    <w:rsid w:val="00532D84"/>
    <w:rsid w:val="006075F4"/>
    <w:rsid w:val="00692696"/>
    <w:rsid w:val="0097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5B4F"/>
  <w15:chartTrackingRefBased/>
  <w15:docId w15:val="{9F54F18F-4427-409D-AD8B-7558B41F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827</Words>
  <Characters>2937</Characters>
  <Application>Microsoft Office Word</Application>
  <DocSecurity>0</DocSecurity>
  <Lines>734</Lines>
  <Paragraphs>418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Moochickal</dc:creator>
  <cp:keywords/>
  <dc:description/>
  <cp:lastModifiedBy>Vishnu Moochickal</cp:lastModifiedBy>
  <cp:revision>4</cp:revision>
  <dcterms:created xsi:type="dcterms:W3CDTF">2026-01-31T18:13:00Z</dcterms:created>
  <dcterms:modified xsi:type="dcterms:W3CDTF">2026-01-31T18:15:00Z</dcterms:modified>
</cp:coreProperties>
</file>