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rPr>
          <w:b/>
          <w:bCs/>
        </w:rPr>
        <w:t xml:space="preserve">Sicherheitsprüfung: local_kursassistent</w:t>
      </w:r>
    </w:p>
    <w:p>
      <w:pPr>
        <w:spacing w:after="200"/>
      </w:pPr>
      <w:r>
        <w:rPr>
          <w:i/>
          <w:iCs/>
          <w:color w:val="595959"/>
        </w:rPr>
        <w:t xml:space="preserve">Moodle in Niedersachsen e. V.  ·  Build 2026071701  ·  Release 1.0.0 (erste stabile Version)  ·  Stand: Juli 2026</w:t>
      </w:r>
    </w:p>
    <w:p>
      <w:pPr>
        <w:spacing w:after="300"/>
      </w:pPr>
      <w:r>
        <w:t xml:space="preserve">Legende: Grün = OK, Gelb = Hinweis (kein akutes Risiko, dokumentationswürdig), Rot = Fehler (muss behoben werden). In dieser Prüfung wurden keine Rot-Einstufungen festgestellt.</w:t>
      </w:r>
    </w:p>
    <w:tbl>
      <w:tblPr>
        <w:tblW w:type="dxa" w:w="13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800"/>
        <w:gridCol w:w="1600"/>
        <w:gridCol w:w="5400"/>
      </w:tblGrid>
      <w:tr>
        <w:trPr>
          <w:tblHeader/>
        </w:trPr>
        <w:tc>
          <w:tcPr>
            <w:tcW w:type="dxa" w:w="2200"/>
            <w:shd w:fill="2F5496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Bereich</w:t>
            </w:r>
          </w:p>
        </w:tc>
        <w:tc>
          <w:tcPr>
            <w:tcW w:type="dxa" w:w="3800"/>
            <w:shd w:fill="2F5496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Prüfpunkt</w:t>
            </w:r>
          </w:p>
        </w:tc>
        <w:tc>
          <w:tcPr>
            <w:tcW w:type="dxa" w:w="1600"/>
            <w:shd w:fill="2F5496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tcW w:type="dxa" w:w="5400"/>
            <w:shd w:fill="2F5496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Bemerkung / Empfehlung</w:t>
            </w:r>
          </w:p>
        </w:tc>
      </w:tr>
      <w:tr>
        <w:tc>
          <w:tcPr>
            <w:tcW w:type="dxa" w:w="22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Zugriffskontrolle</w:t>
            </w:r>
          </w:p>
        </w:tc>
        <w:tc>
          <w:tcPr>
            <w:tcW w:type="dxa" w:w="38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require_login() auf allen ausführbaren Seiten (upload_video.php, pick_file.php, manage.php, edit.php)</w:t>
            </w:r>
          </w:p>
        </w:tc>
        <w:tc>
          <w:tcPr>
            <w:tcW w:type="dxa" w:w="1600"/>
            <w:shd w:fill="C6EFCE" w:val="clear"/>
          </w:tcPr>
          <w:p>
            <w:pPr>
              <w:jc w:val="center"/>
            </w:pPr>
            <w:r>
              <w:rPr>
                <w:b/>
                <w:bCs/>
                <w:color w:val="006100"/>
                <w:sz w:val="18"/>
                <w:szCs w:val="18"/>
              </w:rPr>
              <w:t xml:space="preserve">OK</w:t>
            </w:r>
          </w:p>
        </w:tc>
        <w:tc>
          <w:tcPr>
            <w:tcW w:type="dxa" w:w="54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Vollständig vorhanden.</w:t>
            </w:r>
          </w:p>
        </w:tc>
      </w:tr>
      <w:tr>
        <w:tc>
          <w:tcPr>
            <w:tcW w:type="dxa" w:w="22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Zugriffskontrolle</w:t>
            </w:r>
          </w:p>
        </w:tc>
        <w:tc>
          <w:tcPr>
            <w:tcW w:type="dxa" w:w="38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require_capability() vor jeder sicherheitsrelevanten Aktion</w:t>
            </w:r>
          </w:p>
        </w:tc>
        <w:tc>
          <w:tcPr>
            <w:tcW w:type="dxa" w:w="1600"/>
            <w:shd w:fill="C6EFCE" w:val="clear"/>
          </w:tcPr>
          <w:p>
            <w:pPr>
              <w:jc w:val="center"/>
            </w:pPr>
            <w:r>
              <w:rPr>
                <w:b/>
                <w:bCs/>
                <w:color w:val="006100"/>
                <w:sz w:val="18"/>
                <w:szCs w:val="18"/>
              </w:rPr>
              <w:t xml:space="preserve">OK</w:t>
            </w:r>
          </w:p>
        </w:tc>
        <w:tc>
          <w:tcPr>
            <w:tcW w:type="dxa" w:w="54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local/kursassistent:use für Kursaktionen, local/kursassistent:manage für Admin-Verwaltung – sauber getrennt.</w:t>
            </w:r>
          </w:p>
        </w:tc>
      </w:tr>
      <w:tr>
        <w:tc>
          <w:tcPr>
            <w:tcW w:type="dxa" w:w="22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Zugriffskontrolle</w:t>
            </w:r>
          </w:p>
        </w:tc>
        <w:tc>
          <w:tcPr>
            <w:tcW w:type="dxa" w:w="38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Alle External-Functions (Webservices) prüfen Context + Capability</w:t>
            </w:r>
          </w:p>
        </w:tc>
        <w:tc>
          <w:tcPr>
            <w:tcW w:type="dxa" w:w="1600"/>
            <w:shd w:fill="C6EFCE" w:val="clear"/>
          </w:tcPr>
          <w:p>
            <w:pPr>
              <w:jc w:val="center"/>
            </w:pPr>
            <w:r>
              <w:rPr>
                <w:b/>
                <w:bCs/>
                <w:color w:val="006100"/>
                <w:sz w:val="18"/>
                <w:szCs w:val="18"/>
              </w:rPr>
              <w:t xml:space="preserve">OK</w:t>
            </w:r>
          </w:p>
        </w:tc>
        <w:tc>
          <w:tcPr>
            <w:tcW w:type="dxa" w:w="54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validate_context() und require_capability() in get_bausteine, insert_bausteine, get_peertube_videos.</w:t>
            </w:r>
          </w:p>
        </w:tc>
      </w:tr>
      <w:tr>
        <w:tc>
          <w:tcPr>
            <w:tcW w:type="dxa" w:w="22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Zugriffskontrolle</w:t>
            </w:r>
          </w:p>
        </w:tc>
        <w:tc>
          <w:tcPr>
            <w:tcW w:type="dxa" w:w="38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Capability-Standardrollen sinnvoll gewählt</w:t>
            </w:r>
          </w:p>
        </w:tc>
        <w:tc>
          <w:tcPr>
            <w:tcW w:type="dxa" w:w="1600"/>
            <w:shd w:fill="C6EFCE" w:val="clear"/>
          </w:tcPr>
          <w:p>
            <w:pPr>
              <w:jc w:val="center"/>
            </w:pPr>
            <w:r>
              <w:rPr>
                <w:b/>
                <w:bCs/>
                <w:color w:val="006100"/>
                <w:sz w:val="18"/>
                <w:szCs w:val="18"/>
              </w:rPr>
              <w:t xml:space="preserve">OK</w:t>
            </w:r>
          </w:p>
        </w:tc>
        <w:tc>
          <w:tcPr>
            <w:tcW w:type="dxa" w:w="54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use: editingteacher/teacher/manager (Kurskontext). manage: manager (Systemkontext).</w:t>
            </w:r>
          </w:p>
        </w:tc>
      </w:tr>
      <w:tr>
        <w:tc>
          <w:tcPr>
            <w:tcW w:type="dxa" w:w="22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CSRF-Schutz</w:t>
            </w:r>
          </w:p>
        </w:tc>
        <w:tc>
          <w:tcPr>
            <w:tcW w:type="dxa" w:w="38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sesskey-Prüfung bei zustandsänderenden Aktionen</w:t>
            </w:r>
          </w:p>
        </w:tc>
        <w:tc>
          <w:tcPr>
            <w:tcW w:type="dxa" w:w="1600"/>
            <w:shd w:fill="C6EFCE" w:val="clear"/>
          </w:tcPr>
          <w:p>
            <w:pPr>
              <w:jc w:val="center"/>
            </w:pPr>
            <w:r>
              <w:rPr>
                <w:b/>
                <w:bCs/>
                <w:color w:val="006100"/>
                <w:sz w:val="18"/>
                <w:szCs w:val="18"/>
              </w:rPr>
              <w:t xml:space="preserve">OK</w:t>
            </w:r>
          </w:p>
        </w:tc>
        <w:tc>
          <w:tcPr>
            <w:tcW w:type="dxa" w:w="54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require_sesskey() in upload_video.php; confirm_sesskey() beim Löschen in manage.php; core/ajax prüft sesskey automatisch bei Webservice-Aufrufen.</w:t>
            </w:r>
          </w:p>
        </w:tc>
      </w:tr>
      <w:tr>
        <w:tc>
          <w:tcPr>
            <w:tcW w:type="dxa" w:w="22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CSRF-Schutz</w:t>
            </w:r>
          </w:p>
        </w:tc>
        <w:tc>
          <w:tcPr>
            <w:tcW w:type="dxa" w:w="38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Client-seitige required-Regel beim Datei-Picker entfernt</w:t>
            </w:r>
          </w:p>
        </w:tc>
        <w:tc>
          <w:tcPr>
            <w:tcW w:type="dxa" w:w="1600"/>
            <w:shd w:fill="FFEB9C" w:val="clear"/>
          </w:tcPr>
          <w:p>
            <w:pPr>
              <w:jc w:val="center"/>
            </w:pPr>
            <w:r>
              <w:rPr>
                <w:b/>
                <w:bCs/>
                <w:color w:val="9C6500"/>
                <w:sz w:val="18"/>
                <w:szCs w:val="18"/>
              </w:rPr>
              <w:t xml:space="preserve">HINWEIS</w:t>
            </w:r>
          </w:p>
        </w:tc>
        <w:tc>
          <w:tcPr>
            <w:tcW w:type="dxa" w:w="54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Bewusste Design-Entscheidung (blockierte externe Repository-Referenzen fälschlich). Serverseitiger Fallback erzeugt bei fehlender Datei einen sichtbaren Hinweistext statt eines Fehlers – kein Sicherheitsrisiko, aber UX-Kompromiss.</w:t>
            </w:r>
          </w:p>
        </w:tc>
      </w:tr>
      <w:tr>
        <w:tc>
          <w:tcPr>
            <w:tcW w:type="dxa" w:w="22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Datenbankzugriffe</w:t>
            </w:r>
          </w:p>
        </w:tc>
        <w:tc>
          <w:tcPr>
            <w:tcW w:type="dxa" w:w="38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Ausschließlich parametrisierte Queries</w:t>
            </w:r>
          </w:p>
        </w:tc>
        <w:tc>
          <w:tcPr>
            <w:tcW w:type="dxa" w:w="1600"/>
            <w:shd w:fill="C6EFCE" w:val="clear"/>
          </w:tcPr>
          <w:p>
            <w:pPr>
              <w:jc w:val="center"/>
            </w:pPr>
            <w:r>
              <w:rPr>
                <w:b/>
                <w:bCs/>
                <w:color w:val="006100"/>
                <w:sz w:val="18"/>
                <w:szCs w:val="18"/>
              </w:rPr>
              <w:t xml:space="preserve">OK</w:t>
            </w:r>
          </w:p>
        </w:tc>
        <w:tc>
          <w:tcPr>
            <w:tcW w:type="dxa" w:w="54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Keine String-Konkatenation von Nutzereingaben in SQL. get_records_sql/get_field_sql durchgehend mit benannten Parametern.</w:t>
            </w:r>
          </w:p>
        </w:tc>
      </w:tr>
      <w:tr>
        <w:tc>
          <w:tcPr>
            <w:tcW w:type="dxa" w:w="22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Datenbankzugriffe</w:t>
            </w:r>
          </w:p>
        </w:tc>
        <w:tc>
          <w:tcPr>
            <w:tcW w:type="dxa" w:w="38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XMLDB-Struktur (install.xml)</w:t>
            </w:r>
          </w:p>
        </w:tc>
        <w:tc>
          <w:tcPr>
            <w:tcW w:type="dxa" w:w="1600"/>
            <w:shd w:fill="C6EFCE" w:val="clear"/>
          </w:tcPr>
          <w:p>
            <w:pPr>
              <w:jc w:val="center"/>
            </w:pPr>
            <w:r>
              <w:rPr>
                <w:b/>
                <w:bCs/>
                <w:color w:val="006100"/>
                <w:sz w:val="18"/>
                <w:szCs w:val="18"/>
              </w:rPr>
              <w:t xml:space="preserve">OK</w:t>
            </w:r>
          </w:p>
        </w:tc>
        <w:tc>
          <w:tcPr>
            <w:tcW w:type="dxa" w:w="54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Primärschlüssel, sinnvolle Indizes (sortorder), keine leeren Default-Werte auf NOT-NULL-CHAR-Feldern.</w:t>
            </w:r>
          </w:p>
        </w:tc>
      </w:tr>
      <w:tr>
        <w:tc>
          <w:tcPr>
            <w:tcW w:type="dxa" w:w="22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Datenbankzugriffe</w:t>
            </w:r>
          </w:p>
        </w:tc>
        <w:tc>
          <w:tcPr>
            <w:tcW w:type="dxa" w:w="38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Upgrade-Pfad (db/upgrade.php)</w:t>
            </w:r>
          </w:p>
        </w:tc>
        <w:tc>
          <w:tcPr>
            <w:tcW w:type="dxa" w:w="1600"/>
            <w:shd w:fill="C6EFCE" w:val="clear"/>
          </w:tcPr>
          <w:p>
            <w:pPr>
              <w:jc w:val="center"/>
            </w:pPr>
            <w:r>
              <w:rPr>
                <w:b/>
                <w:bCs/>
                <w:color w:val="006100"/>
                <w:sz w:val="18"/>
                <w:szCs w:val="18"/>
              </w:rPr>
              <w:t xml:space="preserve">OK</w:t>
            </w:r>
          </w:p>
        </w:tc>
        <w:tc>
          <w:tcPr>
            <w:tcW w:type="dxa" w:w="54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Savepoints korrekt gegen die neue Zielversion geprüft (nach Korrektur eines anfänglichen Off-by-one-Fehlers).</w:t>
            </w:r>
          </w:p>
        </w:tc>
      </w:tr>
      <w:tr>
        <w:tc>
          <w:tcPr>
            <w:tcW w:type="dxa" w:w="22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Eingabevalidierung</w:t>
            </w:r>
          </w:p>
        </w:tc>
        <w:tc>
          <w:tcPr>
            <w:tcW w:type="dxa" w:w="38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Titel/Namen escaped bei Ausgabe</w:t>
            </w:r>
          </w:p>
        </w:tc>
        <w:tc>
          <w:tcPr>
            <w:tcW w:type="dxa" w:w="1600"/>
            <w:shd w:fill="C6EFCE" w:val="clear"/>
          </w:tcPr>
          <w:p>
            <w:pPr>
              <w:jc w:val="center"/>
            </w:pPr>
            <w:r>
              <w:rPr>
                <w:b/>
                <w:bCs/>
                <w:color w:val="006100"/>
                <w:sz w:val="18"/>
                <w:szCs w:val="18"/>
              </w:rPr>
              <w:t xml:space="preserve">OK</w:t>
            </w:r>
          </w:p>
        </w:tc>
        <w:tc>
          <w:tcPr>
            <w:tcW w:type="dxa" w:w="54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s() bzw. html_writer::tag() konsequent verwendet für Bausteintitel, Dateinamen.</w:t>
            </w:r>
          </w:p>
        </w:tc>
      </w:tr>
      <w:tr>
        <w:tc>
          <w:tcPr>
            <w:tcW w:type="dxa" w:w="22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Eingabevalidierung</w:t>
            </w:r>
          </w:p>
        </w:tc>
        <w:tc>
          <w:tcPr>
            <w:tcW w:type="dxa" w:w="38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insert_bausteine() akzeptiert "inhalt" als PARAM_RAW ohne serverseitige Bereinigung</w:t>
            </w:r>
          </w:p>
        </w:tc>
        <w:tc>
          <w:tcPr>
            <w:tcW w:type="dxa" w:w="1600"/>
            <w:shd w:fill="FFEB9C" w:val="clear"/>
          </w:tcPr>
          <w:p>
            <w:pPr>
              <w:jc w:val="center"/>
            </w:pPr>
            <w:r>
              <w:rPr>
                <w:b/>
                <w:bCs/>
                <w:color w:val="9C6500"/>
                <w:sz w:val="18"/>
                <w:szCs w:val="18"/>
              </w:rPr>
              <w:t xml:space="preserve">HINWEIS</w:t>
            </w:r>
          </w:p>
        </w:tc>
        <w:tc>
          <w:tcPr>
            <w:tcW w:type="dxa" w:w="54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Entspricht dem bestehenden Vertrauensniveau von editingteacher (kann ohnehin beliebiges HTML über das native Label-Bearbeitungsformular hinterlegen); Ausgabe läuft über Moodles Standard-format_text()-Filterung. Keine neue Rechteausweitung, aber dokumentationswürdig.</w:t>
            </w:r>
          </w:p>
        </w:tc>
      </w:tr>
      <w:tr>
        <w:tc>
          <w:tcPr>
            <w:tcW w:type="dxa" w:w="22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Eingabevalidierung</w:t>
            </w:r>
          </w:p>
        </w:tc>
        <w:tc>
          <w:tcPr>
            <w:tcW w:type="dxa" w:w="38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URL-Eingabefelder (Link einfügen) client-seitig escaped</w:t>
            </w:r>
          </w:p>
        </w:tc>
        <w:tc>
          <w:tcPr>
            <w:tcW w:type="dxa" w:w="1600"/>
            <w:shd w:fill="C6EFCE" w:val="clear"/>
          </w:tcPr>
          <w:p>
            <w:pPr>
              <w:jc w:val="center"/>
            </w:pPr>
            <w:r>
              <w:rPr>
                <w:b/>
                <w:bCs/>
                <w:color w:val="006100"/>
                <w:sz w:val="18"/>
                <w:szCs w:val="18"/>
              </w:rPr>
              <w:t xml:space="preserve">OK</w:t>
            </w:r>
          </w:p>
        </w:tc>
        <w:tc>
          <w:tcPr>
            <w:tcW w:type="dxa" w:w="54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jQuery text()/html()-Escaping vor dem Einfügen in den generierten HTML-String.</w:t>
            </w:r>
          </w:p>
        </w:tc>
      </w:tr>
      <w:tr>
        <w:tc>
          <w:tcPr>
            <w:tcW w:type="dxa" w:w="22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Eingabevalidierung</w:t>
            </w:r>
          </w:p>
        </w:tc>
        <w:tc>
          <w:tcPr>
            <w:tcW w:type="dxa" w:w="38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External-Function-Parameter typisiert (PARAM_INT/PARAM_URL/PARAM_ALPHA)</w:t>
            </w:r>
          </w:p>
        </w:tc>
        <w:tc>
          <w:tcPr>
            <w:tcW w:type="dxa" w:w="1600"/>
            <w:shd w:fill="C6EFCE" w:val="clear"/>
          </w:tcPr>
          <w:p>
            <w:pPr>
              <w:jc w:val="center"/>
            </w:pPr>
            <w:r>
              <w:rPr>
                <w:b/>
                <w:bCs/>
                <w:color w:val="006100"/>
                <w:sz w:val="18"/>
                <w:szCs w:val="18"/>
              </w:rPr>
              <w:t xml:space="preserve">OK</w:t>
            </w:r>
          </w:p>
        </w:tc>
        <w:tc>
          <w:tcPr>
            <w:tcW w:type="dxa" w:w="54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Durchgehend spezifische PARAM_*-Typen statt PARAM_RAW, wo möglich.</w:t>
            </w:r>
          </w:p>
        </w:tc>
      </w:tr>
      <w:tr>
        <w:tc>
          <w:tcPr>
            <w:tcW w:type="dxa" w:w="22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Datei-Uploads</w:t>
            </w:r>
          </w:p>
        </w:tc>
        <w:tc>
          <w:tcPr>
            <w:tcW w:type="dxa" w:w="38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Kein serverseitiger MIME-Type-/Größen-Check vor Video-Upload</w:t>
            </w:r>
          </w:p>
        </w:tc>
        <w:tc>
          <w:tcPr>
            <w:tcW w:type="dxa" w:w="1600"/>
            <w:shd w:fill="FFEB9C" w:val="clear"/>
          </w:tcPr>
          <w:p>
            <w:pPr>
              <w:jc w:val="center"/>
            </w:pPr>
            <w:r>
              <w:rPr>
                <w:b/>
                <w:bCs/>
                <w:color w:val="9C6500"/>
                <w:sz w:val="18"/>
                <w:szCs w:val="18"/>
              </w:rPr>
              <w:t xml:space="preserve">HINWEIS</w:t>
            </w:r>
          </w:p>
        </w:tc>
        <w:tc>
          <w:tcPr>
            <w:tcW w:type="dxa" w:w="54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upload_video.php verlässt sich auf die Ablehnung durch die PeerTube-API. Empfehlung: zusätzliche serverseitige Prüfung von $_FILES[...]['type'] und Dateigröße vor der Weiterverarbeitung ergänzen.</w:t>
            </w:r>
          </w:p>
        </w:tc>
      </w:tr>
      <w:tr>
        <w:tc>
          <w:tcPr>
            <w:tcW w:type="dxa" w:w="22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Datei-Uploads</w:t>
            </w:r>
          </w:p>
        </w:tc>
        <w:tc>
          <w:tcPr>
            <w:tcW w:type="dxa" w:w="38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Datei-Picker (Materialien/Bild) nutzt Moodle-Standardmechanismus</w:t>
            </w:r>
          </w:p>
        </w:tc>
        <w:tc>
          <w:tcPr>
            <w:tcW w:type="dxa" w:w="1600"/>
            <w:shd w:fill="C6EFCE" w:val="clear"/>
          </w:tcPr>
          <w:p>
            <w:pPr>
              <w:jc w:val="center"/>
            </w:pPr>
            <w:r>
              <w:rPr>
                <w:b/>
                <w:bCs/>
                <w:color w:val="006100"/>
                <w:sz w:val="18"/>
                <w:szCs w:val="18"/>
              </w:rPr>
              <w:t xml:space="preserve">OK</w:t>
            </w:r>
          </w:p>
        </w:tc>
        <w:tc>
          <w:tcPr>
            <w:tcW w:type="dxa" w:w="54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file_save_draft_area_files() in den Standard-Dateibereich des erzeugten Labels – keine eigene Dateiablage außerhalb der Moodle File API.</w:t>
            </w:r>
          </w:p>
        </w:tc>
      </w:tr>
      <w:tr>
        <w:tc>
          <w:tcPr>
            <w:tcW w:type="dxa" w:w="22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Datei-Uploads</w:t>
            </w:r>
          </w:p>
        </w:tc>
        <w:tc>
          <w:tcPr>
            <w:tcW w:type="dxa" w:w="38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Upload-Endpunkt (upload_video.php) kein regulärer Webservice</w:t>
            </w:r>
          </w:p>
        </w:tc>
        <w:tc>
          <w:tcPr>
            <w:tcW w:type="dxa" w:w="1600"/>
            <w:shd w:fill="C6EFCE" w:val="clear"/>
          </w:tcPr>
          <w:p>
            <w:pPr>
              <w:jc w:val="center"/>
            </w:pPr>
            <w:r>
              <w:rPr>
                <w:b/>
                <w:bCs/>
                <w:color w:val="006100"/>
                <w:sz w:val="18"/>
                <w:szCs w:val="18"/>
              </w:rPr>
              <w:t xml:space="preserve">OK</w:t>
            </w:r>
          </w:p>
        </w:tc>
        <w:tc>
          <w:tcPr>
            <w:tcW w:type="dxa" w:w="54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Bewusste Entscheidung wegen Multipart-Upload; eigenständig mit require_login/require_sesskey/require_capability abgesichert.</w:t>
            </w:r>
          </w:p>
        </w:tc>
      </w:tr>
      <w:tr>
        <w:tc>
          <w:tcPr>
            <w:tcW w:type="dxa" w:w="22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Video-Einbettung</w:t>
            </w:r>
          </w:p>
        </w:tc>
        <w:tc>
          <w:tcPr>
            <w:tcW w:type="dxa" w:w="38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iFrame sandbox-Attribut restriktiv gesetzt</w:t>
            </w:r>
          </w:p>
        </w:tc>
        <w:tc>
          <w:tcPr>
            <w:tcW w:type="dxa" w:w="1600"/>
            <w:shd w:fill="C6EFCE" w:val="clear"/>
          </w:tcPr>
          <w:p>
            <w:pPr>
              <w:jc w:val="center"/>
            </w:pPr>
            <w:r>
              <w:rPr>
                <w:b/>
                <w:bCs/>
                <w:color w:val="006100"/>
                <w:sz w:val="18"/>
                <w:szCs w:val="18"/>
              </w:rPr>
              <w:t xml:space="preserve">OK</w:t>
            </w:r>
          </w:p>
        </w:tc>
        <w:tc>
          <w:tcPr>
            <w:tcW w:type="dxa" w:w="54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sandbox="allow-same-origin allow-scripts allow-popups allow-forms" – kein allow-top-navigation.</w:t>
            </w:r>
          </w:p>
        </w:tc>
      </w:tr>
      <w:tr>
        <w:tc>
          <w:tcPr>
            <w:tcW w:type="dxa" w:w="22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Video-Einbettung</w:t>
            </w:r>
          </w:p>
        </w:tc>
        <w:tc>
          <w:tcPr>
            <w:tcW w:type="dxa" w:w="38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Verlinkte externe Video-URLs ungeprüft</w:t>
            </w:r>
          </w:p>
        </w:tc>
        <w:tc>
          <w:tcPr>
            <w:tcW w:type="dxa" w:w="1600"/>
            <w:shd w:fill="FFEB9C" w:val="clear"/>
          </w:tcPr>
          <w:p>
            <w:pPr>
              <w:jc w:val="center"/>
            </w:pPr>
            <w:r>
              <w:rPr>
                <w:b/>
                <w:bCs/>
                <w:color w:val="9C6500"/>
                <w:sz w:val="18"/>
                <w:szCs w:val="18"/>
              </w:rPr>
              <w:t xml:space="preserve">HINWEIS</w:t>
            </w:r>
          </w:p>
        </w:tc>
        <w:tc>
          <w:tcPr>
            <w:tcW w:type="dxa" w:w="54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Tab "Link einfügen" akzeptiert jede URL ohne Domain-Whitelist. Für den schulischen Kontext vertretbar, da nur Lehrkräfte (editingteacher+) Zugriff haben – dennoch als bekannte Einschränkung dokumentiert.</w:t>
            </w:r>
          </w:p>
        </w:tc>
      </w:tr>
      <w:tr>
        <w:tc>
          <w:tcPr>
            <w:tcW w:type="dxa" w:w="22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Privacy API</w:t>
            </w:r>
          </w:p>
        </w:tc>
        <w:tc>
          <w:tcPr>
            <w:tcW w:type="dxa" w:w="38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Vollständiger Privacy-Provider für lokale Log-Tabelle</w:t>
            </w:r>
          </w:p>
        </w:tc>
        <w:tc>
          <w:tcPr>
            <w:tcW w:type="dxa" w:w="1600"/>
            <w:shd w:fill="C6EFCE" w:val="clear"/>
          </w:tcPr>
          <w:p>
            <w:pPr>
              <w:jc w:val="center"/>
            </w:pPr>
            <w:r>
              <w:rPr>
                <w:b/>
                <w:bCs/>
                <w:color w:val="006100"/>
                <w:sz w:val="18"/>
                <w:szCs w:val="18"/>
              </w:rPr>
              <w:t xml:space="preserve">OK</w:t>
            </w:r>
          </w:p>
        </w:tc>
        <w:tc>
          <w:tcPr>
            <w:tcW w:type="dxa" w:w="54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export/delete für Einzelnutzer und Kontext implementiert (core_userlist_provider + plugin\provider).</w:t>
            </w:r>
          </w:p>
        </w:tc>
      </w:tr>
      <w:tr>
        <w:tc>
          <w:tcPr>
            <w:tcW w:type="dxa" w:w="22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Abhängigkeiten</w:t>
            </w:r>
          </w:p>
        </w:tc>
        <w:tc>
          <w:tcPr>
            <w:tcW w:type="dxa" w:w="38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Lose Kopplung zu local_peertubeupload/repository_peertubeoauth</w:t>
            </w:r>
          </w:p>
        </w:tc>
        <w:tc>
          <w:tcPr>
            <w:tcW w:type="dxa" w:w="1600"/>
            <w:shd w:fill="C6EFCE" w:val="clear"/>
          </w:tcPr>
          <w:p>
            <w:pPr>
              <w:jc w:val="center"/>
            </w:pPr>
            <w:r>
              <w:rPr>
                <w:b/>
                <w:bCs/>
                <w:color w:val="006100"/>
                <w:sz w:val="18"/>
                <w:szCs w:val="18"/>
              </w:rPr>
              <w:t xml:space="preserve">OK</w:t>
            </w:r>
          </w:p>
        </w:tc>
        <w:tc>
          <w:tcPr>
            <w:tcW w:type="dxa" w:w="54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Ausschließlich über core_component::get_component_directory()-Prüfung und expliziten require_once mit file_exists()-Guard; kein Fataler Fehler bei fehlenden Fremdplugins.</w:t>
            </w:r>
          </w:p>
        </w:tc>
      </w:tr>
      <w:tr>
        <w:tc>
          <w:tcPr>
            <w:tcW w:type="dxa" w:w="22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Abhängigkeiten</w:t>
            </w:r>
          </w:p>
        </w:tc>
        <w:tc>
          <w:tcPr>
            <w:tcW w:type="dxa" w:w="38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video_helper::get_channel_status() bei veralteter local_peertubeupload-Version</w:t>
            </w:r>
          </w:p>
        </w:tc>
        <w:tc>
          <w:tcPr>
            <w:tcW w:type="dxa" w:w="1600"/>
            <w:shd w:fill="C6EFCE" w:val="clear"/>
          </w:tcPr>
          <w:p>
            <w:pPr>
              <w:jc w:val="center"/>
            </w:pPr>
            <w:r>
              <w:rPr>
                <w:b/>
                <w:bCs/>
                <w:color w:val="006100"/>
                <w:sz w:val="18"/>
                <w:szCs w:val="18"/>
              </w:rPr>
              <w:t xml:space="preserve">OK</w:t>
            </w:r>
          </w:p>
        </w:tc>
        <w:tc>
          <w:tcPr>
            <w:tcW w:type="dxa" w:w="54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method_exists()-Prüfung vor Aufruf; Fallback "nicht bereit" statt Fatal Error.</w:t>
            </w:r>
          </w:p>
        </w:tc>
      </w:tr>
      <w:tr>
        <w:tc>
          <w:tcPr>
            <w:tcW w:type="dxa" w:w="22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Allgemein</w:t>
            </w:r>
          </w:p>
        </w:tc>
        <w:tc>
          <w:tcPr>
            <w:tcW w:type="dxa" w:w="38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GPL v3-Lizenzkopf in allen Dateien</w:t>
            </w:r>
          </w:p>
        </w:tc>
        <w:tc>
          <w:tcPr>
            <w:tcW w:type="dxa" w:w="1600"/>
            <w:shd w:fill="C6EFCE" w:val="clear"/>
          </w:tcPr>
          <w:p>
            <w:pPr>
              <w:jc w:val="center"/>
            </w:pPr>
            <w:r>
              <w:rPr>
                <w:b/>
                <w:bCs/>
                <w:color w:val="006100"/>
                <w:sz w:val="18"/>
                <w:szCs w:val="18"/>
              </w:rPr>
              <w:t xml:space="preserve">OK</w:t>
            </w:r>
          </w:p>
        </w:tc>
        <w:tc>
          <w:tcPr>
            <w:tcW w:type="dxa" w:w="54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Durchgehend vorhanden.</w:t>
            </w:r>
          </w:p>
        </w:tc>
      </w:tr>
      <w:tr>
        <w:tc>
          <w:tcPr>
            <w:tcW w:type="dxa" w:w="22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Allgemein</w:t>
            </w:r>
          </w:p>
        </w:tc>
        <w:tc>
          <w:tcPr>
            <w:tcW w:type="dxa" w:w="38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Maintainer-Eintrag in version.php</w:t>
            </w:r>
          </w:p>
        </w:tc>
        <w:tc>
          <w:tcPr>
            <w:tcW w:type="dxa" w:w="1600"/>
            <w:shd w:fill="C6EFCE" w:val="clear"/>
          </w:tcPr>
          <w:p>
            <w:pPr>
              <w:jc w:val="center"/>
            </w:pPr>
            <w:r>
              <w:rPr>
                <w:b/>
                <w:bCs/>
                <w:color w:val="006100"/>
                <w:sz w:val="18"/>
                <w:szCs w:val="18"/>
              </w:rPr>
              <w:t xml:space="preserve">OK</w:t>
            </w:r>
          </w:p>
        </w:tc>
        <w:tc>
          <w:tcPr>
            <w:tcW w:type="dxa" w:w="54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Moodle in Niedersachsen e. V.</w:t>
            </w:r>
          </w:p>
        </w:tc>
      </w:tr>
      <w:tr>
        <w:tc>
          <w:tcPr>
            <w:tcW w:type="dxa" w:w="22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Allgemein</w:t>
            </w:r>
          </w:p>
        </w:tc>
        <w:tc>
          <w:tcPr>
            <w:tcW w:type="dxa" w:w="38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Reifegrad MATURITY_STABLE</w:t>
            </w:r>
          </w:p>
        </w:tc>
        <w:tc>
          <w:tcPr>
            <w:tcW w:type="dxa" w:w="1600"/>
            <w:shd w:fill="C6EFCE" w:val="clear"/>
          </w:tcPr>
          <w:p>
            <w:pPr>
              <w:jc w:val="center"/>
            </w:pPr>
            <w:r>
              <w:rPr>
                <w:b/>
                <w:bCs/>
                <w:color w:val="006100"/>
                <w:sz w:val="18"/>
                <w:szCs w:val="18"/>
              </w:rPr>
              <w:t xml:space="preserve">OK</w:t>
            </w:r>
          </w:p>
        </w:tc>
        <w:tc>
          <w:tcPr>
            <w:tcW w:type="dxa" w:w="54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Erste stabile Version (1.0.0), nach ausführlicher Testphase freigegeben.</w:t>
            </w:r>
          </w:p>
        </w:tc>
      </w:tr>
      <w:tr>
        <w:tc>
          <w:tcPr>
            <w:tcW w:type="dxa" w:w="22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Abschnitts-Verwaltung</w:t>
            </w:r>
          </w:p>
        </w:tc>
        <w:tc>
          <w:tcPr>
            <w:tcW w:type="dxa" w:w="38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rename_section() / create_section()</w:t>
            </w:r>
          </w:p>
        </w:tc>
        <w:tc>
          <w:tcPr>
            <w:tcW w:type="dxa" w:w="1600"/>
            <w:shd w:fill="C6EFCE" w:val="clear"/>
          </w:tcPr>
          <w:p>
            <w:pPr>
              <w:jc w:val="center"/>
            </w:pPr>
            <w:r>
              <w:rPr>
                <w:b/>
                <w:bCs/>
                <w:color w:val="006100"/>
                <w:sz w:val="18"/>
                <w:szCs w:val="18"/>
              </w:rPr>
              <w:t xml:space="preserve">OK</w:t>
            </w:r>
          </w:p>
        </w:tc>
        <w:tc>
          <w:tcPr>
            <w:tcW w:type="dxa" w:w="54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Nutzen Moodles Core-Funktionen course_update_section()/course_create_section(); Capability- und Context-Prüfung vor jedem Aufruf.</w:t>
            </w:r>
          </w:p>
        </w:tc>
      </w:tr>
      <w:tr>
        <w:tc>
          <w:tcPr>
            <w:tcW w:type="dxa" w:w="22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Aktivitäts-Baustein</w:t>
            </w:r>
          </w:p>
        </w:tc>
        <w:tc>
          <w:tcPr>
            <w:tcW w:type="dxa" w:w="38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Navigation zu course/modedit.php mit modname-Parameter</w:t>
            </w:r>
          </w:p>
        </w:tc>
        <w:tc>
          <w:tcPr>
            <w:tcW w:type="dxa" w:w="1600"/>
            <w:shd w:fill="C6EFCE" w:val="clear"/>
          </w:tcPr>
          <w:p>
            <w:pPr>
              <w:jc w:val="center"/>
            </w:pPr>
            <w:r>
              <w:rPr>
                <w:b/>
                <w:bCs/>
                <w:color w:val="006100"/>
                <w:sz w:val="18"/>
                <w:szCs w:val="18"/>
              </w:rPr>
              <w:t xml:space="preserve">OK</w:t>
            </w:r>
          </w:p>
        </w:tc>
        <w:tc>
          <w:tcPr>
            <w:tcW w:type="dxa" w:w="54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modname stammt ausschließlich aus einem Admin-gepflegten Dropdown (Quelle: core get_module_types_names(), nur tatsächlich installierte Module) - keine Freitexteingabe.</w:t>
            </w:r>
          </w:p>
        </w:tc>
      </w:tr>
      <w:tr>
        <w:tc>
          <w:tcPr>
            <w:tcW w:type="dxa" w:w="22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Anleitung</w:t>
            </w:r>
          </w:p>
        </w:tc>
        <w:tc>
          <w:tcPr>
            <w:tcW w:type="dxa" w:w="38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Admin-editierbarer Anleitungstext (admin_setting_confightmleditor)</w:t>
            </w:r>
          </w:p>
        </w:tc>
        <w:tc>
          <w:tcPr>
            <w:tcW w:type="dxa" w:w="1600"/>
            <w:shd w:fill="C6EFCE" w:val="clear"/>
          </w:tcPr>
          <w:p>
            <w:pPr>
              <w:jc w:val="center"/>
            </w:pPr>
            <w:r>
              <w:rPr>
                <w:b/>
                <w:bCs/>
                <w:color w:val="006100"/>
                <w:sz w:val="18"/>
                <w:szCs w:val="18"/>
              </w:rPr>
              <w:t xml:space="preserve">OK</w:t>
            </w:r>
          </w:p>
        </w:tc>
        <w:tc>
          <w:tcPr>
            <w:tcW w:type="dxa" w:w="54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Nur für Website-Administratoren editierbar (gleiches Vertrauensniveau wie jede andere Moodle-Admin-Einstellung); Ausgabe über format_text() mit korrektem Kontext.</w:t>
            </w:r>
          </w:p>
        </w:tc>
      </w:tr>
      <w:tr>
        <w:tc>
          <w:tcPr>
            <w:tcW w:type="dxa" w:w="22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Kurseinrichtung</w:t>
            </w:r>
          </w:p>
        </w:tc>
        <w:tc>
          <w:tcPr>
            <w:tcW w:type="dxa" w:w="38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Verlinkung zu course/edit.php (Kursformat ändern)</w:t>
            </w:r>
          </w:p>
        </w:tc>
        <w:tc>
          <w:tcPr>
            <w:tcW w:type="dxa" w:w="1600"/>
            <w:shd w:fill="C6EFCE" w:val="clear"/>
          </w:tcPr>
          <w:p>
            <w:pPr>
              <w:jc w:val="center"/>
            </w:pPr>
            <w:r>
              <w:rPr>
                <w:b/>
                <w:bCs/>
                <w:color w:val="006100"/>
                <w:sz w:val="18"/>
                <w:szCs w:val="18"/>
              </w:rPr>
              <w:t xml:space="preserve">OK</w:t>
            </w:r>
          </w:p>
        </w:tc>
        <w:tc>
          <w:tcPr>
            <w:tcW w:type="dxa" w:w="54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Reine Navigation zu Moodles nativer, bereits abgesicherter Kurseinstellungsseite - keine eigene Logik.</w:t>
            </w:r>
          </w:p>
        </w:tc>
      </w:tr>
      <w:tr>
        <w:tc>
          <w:tcPr>
            <w:tcW w:type="dxa" w:w="22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Kursvorlagen-Integration</w:t>
            </w:r>
          </w:p>
        </w:tc>
        <w:tc>
          <w:tcPr>
            <w:tcW w:type="dxa" w:w="38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Anbindung an local_coursetemplatewizard</w:t>
            </w:r>
          </w:p>
        </w:tc>
        <w:tc>
          <w:tcPr>
            <w:tcW w:type="dxa" w:w="1600"/>
            <w:shd w:fill="C6EFCE" w:val="clear"/>
          </w:tcPr>
          <w:p>
            <w:pPr>
              <w:jc w:val="center"/>
            </w:pPr>
            <w:r>
              <w:rPr>
                <w:b/>
                <w:bCs/>
                <w:color w:val="006100"/>
                <w:sz w:val="18"/>
                <w:szCs w:val="18"/>
              </w:rPr>
              <w:t xml:space="preserve">OK</w:t>
            </w:r>
          </w:p>
        </w:tc>
        <w:tc>
          <w:tcPr>
            <w:tcW w:type="dxa" w:w="54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Lose Kopplung ausschließlich über core_component::get_component_directory()-Prüfung; Baustein erscheint nur, wenn das Fremdplugin installiert ist. Keine eigene Sicherungs-/Wiederherstellungslogik - vollständig an das Fremdplugin delegiert, dessen eigene Capability-Prüfung (local/coursetemplatewizard:use) dort greift.</w:t>
            </w:r>
          </w:p>
        </w:tc>
      </w:tr>
      <w:tr>
        <w:tc>
          <w:tcPr>
            <w:tcW w:type="dxa" w:w="22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Icon-System</w:t>
            </w:r>
          </w:p>
        </w:tc>
        <w:tc>
          <w:tcPr>
            <w:tcW w:type="dxa" w:w="38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Alle Icons als eigene, gebündelte SVG-Dateien</w:t>
            </w:r>
          </w:p>
        </w:tc>
        <w:tc>
          <w:tcPr>
            <w:tcW w:type="dxa" w:w="1600"/>
            <w:shd w:fill="C6EFCE" w:val="clear"/>
          </w:tcPr>
          <w:p>
            <w:pPr>
              <w:jc w:val="center"/>
            </w:pPr>
            <w:r>
              <w:rPr>
                <w:b/>
                <w:bCs/>
                <w:color w:val="006100"/>
                <w:sz w:val="18"/>
                <w:szCs w:val="18"/>
              </w:rPr>
              <w:t xml:space="preserve">OK</w:t>
            </w:r>
          </w:p>
        </w:tc>
        <w:tc>
          <w:tcPr>
            <w:tcW w:type="dxa" w:w="54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Keine externe Schriftart/CDN-Abhängigkeit (nach Korrektur der ursprünglichen Tabler-Icons-Annahme); statische, ungefährliche Assets.</w:t>
            </w:r>
          </w:p>
        </w:tc>
      </w:tr>
    </w:tbl>
    <w:p>
      <w:pPr>
        <w:spacing w:before="300"/>
      </w:pPr>
      <w:r>
        <w:t xml:space="preserve"/>
      </w:r>
    </w:p>
    <w:p>
      <w:r>
        <w:rPr>
          <w:b/>
          <w:bCs/>
        </w:rPr>
        <w:t xml:space="preserve">Zusammenfassung: Keine kritischen Sicherheitsmängel festgestellt. Vier verbleibende Hinweise (gelb) betreffen Härtungsmaßnahmen (Datei-Typ-Validierung beim Video-Upload, URL-Whitelisting, fehlende client-seitige Pflichtfeld-Prüfung beim Datei-Picker, PARAM_RAW bei insert_bausteine) - keine akuten Schwachstellen. Alle seit der letzten Prüfung neu hinzugekommenen Funktionen (Abschnittsverwaltung, Aktivitäts-Baustein, Anleitung, Kursvorlagen-Integration) wurden geprüft und als unbedenklich eingestuft. Reifegrad auf MATURITY_STABLE angehoben.</w:t>
      </w:r>
    </w:p>
    <w:sectPr>
      <w:pgSz w:w="16838" w:h="11906" w:orient="landscape"/>
      <w:pgMar w:top="700" w:right="500" w:bottom="700" w:left="5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2026-07-17T05:56:37.576Z</dcterms:created>
  <dcterms:modified xsi:type="dcterms:W3CDTF">2026-07-17T05:56:37.595Z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