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What I did this week: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We’ve been working with our board from the LID and so far the gate driver appears to be struggling.  The 2n7000’s that we’ve been using appear to work correctly, but we’ve had to replace several.  Other than the the motor appears to be correctly following our state transition graph correctly.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Obstacles?: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This board is taking awhile to get working due to not having soldermask.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What I plan to do next week: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We will be getting the OSHpark board soon, so I’m preparing to receive those and boot one of our processors and transfer our code to a processor.</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