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B0AC" w14:textId="77777777" w:rsidR="00447E9E" w:rsidRPr="00447E9E" w:rsidRDefault="00447E9E" w:rsidP="00447E9E">
      <w:pPr>
        <w:rPr>
          <w:b/>
          <w:bCs/>
        </w:rPr>
      </w:pPr>
      <w:r w:rsidRPr="00447E9E">
        <w:rPr>
          <w:b/>
          <w:bCs/>
        </w:rPr>
        <w:t>1. Project Title</w:t>
      </w:r>
    </w:p>
    <w:p w14:paraId="31418A08" w14:textId="77777777" w:rsidR="00447E9E" w:rsidRPr="00447E9E" w:rsidRDefault="00447E9E" w:rsidP="00447E9E">
      <w:r w:rsidRPr="00447E9E">
        <w:rPr>
          <w:b/>
          <w:bCs/>
        </w:rPr>
        <w:t>EMERALD-AI: An Explainable Machine Learning Framework for Smart Credit Scoring in Sustainable Green Loan Assessment — Supported by a Full-Stack Web Application</w:t>
      </w:r>
    </w:p>
    <w:p w14:paraId="4B6018D0" w14:textId="77777777" w:rsidR="00447E9E" w:rsidRDefault="00447E9E"/>
    <w:p w14:paraId="76FE2B41" w14:textId="77777777" w:rsidR="00447E9E" w:rsidRPr="00447E9E" w:rsidRDefault="00447E9E" w:rsidP="00447E9E">
      <w:pPr>
        <w:rPr>
          <w:b/>
          <w:bCs/>
        </w:rPr>
      </w:pPr>
      <w:r w:rsidRPr="00447E9E">
        <w:rPr>
          <w:b/>
          <w:bCs/>
        </w:rPr>
        <w:t>2. Introduction</w:t>
      </w:r>
    </w:p>
    <w:p w14:paraId="0FCE5A7F" w14:textId="77777777" w:rsidR="00447E9E" w:rsidRPr="00447E9E" w:rsidRDefault="00447E9E" w:rsidP="00447E9E">
      <w:r w:rsidRPr="00447E9E">
        <w:t>Green lending has expanded from a niche sustainability initiative into a mainstream fixture of modern finance. Green loans are credit products whose proceeds are ring-fenced for environmentally beneficial purposes — renewable energy installations, energy-efficient building upgrades, clean transportation, and sustainable agriculture, among others. The Loan Market Association et al. (2023) notes that the global green loan market has grown at a compound annual rate exceeding 40% since 2018, reflecting both rising investor appetite for responsible assets and regulatory pressure on financial institutions to align their portfolios with net-zero commitments.</w:t>
      </w:r>
    </w:p>
    <w:p w14:paraId="7A72739A" w14:textId="77777777" w:rsidR="00447E9E" w:rsidRPr="00447E9E" w:rsidRDefault="00447E9E" w:rsidP="00447E9E"/>
    <w:p w14:paraId="13C9E75D" w14:textId="77777777" w:rsidR="00447E9E" w:rsidRDefault="00447E9E" w:rsidP="00447E9E">
      <w:r w:rsidRPr="00447E9E">
        <w:t>Despite this rapid growth, credit assessment in green lending remains anchored to scoring frameworks that were built for conventional loan products. Traditional credit models rely heavily on a narrow set of indicators — repayment history, income, and debt coverage — and are poorly equipped to evaluate the environmental viability of funded projects, the long-term cashflow profiles of renewable energy assets, or the reputational exposure arising from greenwashing. As Ehlers and Packer (2017) observed, the information gap between borrowers and lenders in green debt markets is one of the defining structural weaknesses of the asset class, creating risks of capital misallocation that undermine the very purpose of sustainable finance.</w:t>
      </w:r>
    </w:p>
    <w:p w14:paraId="14615238" w14:textId="77777777" w:rsidR="00447E9E" w:rsidRDefault="00447E9E" w:rsidP="00447E9E"/>
    <w:p w14:paraId="66CCB385" w14:textId="77777777" w:rsidR="00447E9E" w:rsidRPr="00447E9E" w:rsidRDefault="00447E9E" w:rsidP="00447E9E">
      <w:r w:rsidRPr="00447E9E">
        <w:t xml:space="preserve">Artificial Intelligence (AI) and Machine Learning (ML) offer a fundamentally different approach to credit risk. Rather than applying fixed rules to a small set of variables, ML algorithms can simultaneously process hundreds of features, identify nonlinear relationships that conventional models miss, and produce risk assessments that adapt dynamically as new data becomes available. This dissertation presents EMERALD-AI — an explainable ML credit scoring framework trained on a real-world dataset of 14,135 funded green loan transactions from 2019, encompassing 166 structured variables including credit scores, loan amounts, annual percentage rates, factor rates, payback ratios, industry classifications, borrower states, deal stages, and tier classifications. Crucially, the research also delivers a production-ready full-stack web application through which the </w:t>
      </w:r>
      <w:r w:rsidRPr="00447E9E">
        <w:lastRenderedPageBreak/>
        <w:t>trained model can be accessed interactively, making the findings practically usable by lending institutions rather than remaining confined to academic outputs.</w:t>
      </w:r>
    </w:p>
    <w:p w14:paraId="1B6C8461" w14:textId="77777777" w:rsidR="00447E9E" w:rsidRDefault="00447E9E" w:rsidP="00447E9E">
      <w:pPr>
        <w:rPr>
          <w:lang w:bidi="th-TH"/>
        </w:rPr>
      </w:pPr>
    </w:p>
    <w:p w14:paraId="7FF55845" w14:textId="77777777" w:rsidR="00D869B6" w:rsidRPr="00D869B6" w:rsidRDefault="00D869B6" w:rsidP="00D869B6">
      <w:pPr>
        <w:rPr>
          <w:b/>
          <w:bCs/>
          <w:lang w:bidi="th-TH"/>
        </w:rPr>
      </w:pPr>
      <w:r w:rsidRPr="00D869B6">
        <w:rPr>
          <w:b/>
          <w:bCs/>
          <w:lang w:bidi="th-TH"/>
        </w:rPr>
        <w:t>3. Motivation</w:t>
      </w:r>
    </w:p>
    <w:p w14:paraId="02483DBD" w14:textId="77777777" w:rsidR="00D869B6" w:rsidRPr="00D869B6" w:rsidRDefault="00D869B6" w:rsidP="00D869B6">
      <w:pPr>
        <w:rPr>
          <w:b/>
          <w:bCs/>
          <w:lang w:bidi="th-TH"/>
        </w:rPr>
      </w:pPr>
      <w:r w:rsidRPr="00D869B6">
        <w:rPr>
          <w:b/>
          <w:bCs/>
          <w:lang w:bidi="th-TH"/>
        </w:rPr>
        <w:t>3.1 Operational Gap in Green Lending Practice</w:t>
      </w:r>
    </w:p>
    <w:p w14:paraId="28753A14" w14:textId="77777777" w:rsidR="00D869B6" w:rsidRPr="00D869B6" w:rsidRDefault="00D869B6" w:rsidP="00D869B6">
      <w:pPr>
        <w:rPr>
          <w:lang w:bidi="th-TH"/>
        </w:rPr>
      </w:pPr>
      <w:r w:rsidRPr="00D869B6">
        <w:rPr>
          <w:lang w:bidi="th-TH"/>
        </w:rPr>
        <w:t xml:space="preserve">One of the most striking features of the 2019 green loan dataset used in this project is the sheer diversity it reveals across borrowers. Credit scores range widely, APR structures vary significantly by industry and </w:t>
      </w:r>
      <w:proofErr w:type="gramStart"/>
      <w:r w:rsidRPr="00D869B6">
        <w:rPr>
          <w:lang w:bidi="th-TH"/>
        </w:rPr>
        <w:t>tier</w:t>
      </w:r>
      <w:proofErr w:type="gramEnd"/>
      <w:r w:rsidRPr="00D869B6">
        <w:rPr>
          <w:lang w:bidi="th-TH"/>
        </w:rPr>
        <w:t>, and deal outcomes are unevenly distributed across states and sectors. Despite this heterogeneity, green lending institutions commonly apply broadly uniform credit thresholds across all borrower profiles. That seems like a significant inefficiency, and it is precisely the kind of problem that ML is built to solve — by learning to treat different borrower profiles differently, in ways that are grounded in data rather than intuition.</w:t>
      </w:r>
    </w:p>
    <w:p w14:paraId="3441D082" w14:textId="77777777" w:rsidR="00D869B6" w:rsidRPr="00D869B6" w:rsidRDefault="00D869B6" w:rsidP="00D869B6">
      <w:pPr>
        <w:rPr>
          <w:lang w:bidi="th-TH"/>
        </w:rPr>
      </w:pPr>
    </w:p>
    <w:p w14:paraId="5BE8E165" w14:textId="77777777" w:rsidR="00D869B6" w:rsidRPr="00D869B6" w:rsidRDefault="00D869B6" w:rsidP="00D869B6">
      <w:pPr>
        <w:rPr>
          <w:b/>
          <w:bCs/>
          <w:lang w:bidi="th-TH"/>
        </w:rPr>
      </w:pPr>
      <w:r w:rsidRPr="00D869B6">
        <w:rPr>
          <w:b/>
          <w:bCs/>
          <w:lang w:bidi="th-TH"/>
        </w:rPr>
        <w:t xml:space="preserve">3.2 Gap in </w:t>
      </w:r>
      <w:proofErr w:type="gramStart"/>
      <w:r w:rsidRPr="00D869B6">
        <w:rPr>
          <w:b/>
          <w:bCs/>
          <w:lang w:bidi="th-TH"/>
        </w:rPr>
        <w:t>the Academic</w:t>
      </w:r>
      <w:proofErr w:type="gramEnd"/>
      <w:r w:rsidRPr="00D869B6">
        <w:rPr>
          <w:b/>
          <w:bCs/>
          <w:lang w:bidi="th-TH"/>
        </w:rPr>
        <w:t xml:space="preserve"> Literature</w:t>
      </w:r>
    </w:p>
    <w:p w14:paraId="101BB530" w14:textId="77777777" w:rsidR="00D869B6" w:rsidRPr="00D869B6" w:rsidRDefault="00D869B6" w:rsidP="00D869B6">
      <w:pPr>
        <w:rPr>
          <w:lang w:bidi="th-TH"/>
        </w:rPr>
      </w:pPr>
      <w:r w:rsidRPr="00D869B6">
        <w:rPr>
          <w:lang w:bidi="th-TH"/>
        </w:rPr>
        <w:t xml:space="preserve">From a scholarly standpoint, there is a well-established body of work on ML in conventional credit scoring, including landmark contributions from </w:t>
      </w:r>
      <w:proofErr w:type="spellStart"/>
      <w:r w:rsidRPr="00D869B6">
        <w:rPr>
          <w:lang w:bidi="th-TH"/>
        </w:rPr>
        <w:t>Baesens</w:t>
      </w:r>
      <w:proofErr w:type="spellEnd"/>
      <w:r w:rsidRPr="00D869B6">
        <w:rPr>
          <w:lang w:bidi="th-TH"/>
        </w:rPr>
        <w:t xml:space="preserve"> et al. (2003) and Lessmann et al. (2015), as well as growing literature on green finance from scholars such as Flammer (2021) and Tang and Zhang (2020). However, there is a conspicuous absence of empirical research sitting at the intersection of these two fields — work that specifically asks how ML can improve credit decisions in green lending. EMERALD-AI directly addresses this gap.</w:t>
      </w:r>
    </w:p>
    <w:p w14:paraId="722ED4AD" w14:textId="77777777" w:rsidR="00D869B6" w:rsidRDefault="00D869B6" w:rsidP="00447E9E">
      <w:pPr>
        <w:rPr>
          <w:lang w:bidi="th-TH"/>
        </w:rPr>
      </w:pPr>
    </w:p>
    <w:p w14:paraId="59F07562" w14:textId="77777777" w:rsidR="00D869B6" w:rsidRPr="00D869B6" w:rsidRDefault="00D869B6" w:rsidP="00D869B6">
      <w:pPr>
        <w:rPr>
          <w:b/>
          <w:bCs/>
          <w:lang w:bidi="th-TH"/>
        </w:rPr>
      </w:pPr>
      <w:r w:rsidRPr="00D869B6">
        <w:rPr>
          <w:b/>
          <w:bCs/>
          <w:lang w:bidi="th-TH"/>
        </w:rPr>
        <w:t>3.3 Regulatory Pressure for Explainability</w:t>
      </w:r>
    </w:p>
    <w:p w14:paraId="78D41A9F" w14:textId="77777777" w:rsidR="00D869B6" w:rsidRPr="00D869B6" w:rsidRDefault="00D869B6" w:rsidP="00D869B6">
      <w:pPr>
        <w:rPr>
          <w:lang w:bidi="th-TH"/>
        </w:rPr>
      </w:pPr>
      <w:r w:rsidRPr="00D869B6">
        <w:rPr>
          <w:lang w:bidi="th-TH"/>
        </w:rPr>
        <w:t xml:space="preserve">A model that produces accurate predictions but cannot explain them is not deployable in regulated financial services. The proposed EU AI Act (European Commission, 2021) classifies credit scoring systems as high-risk AI applications, mandating transparency, human oversight, and auditability. The UK Financial Conduct Authority's Consumer Duty framework (FCA, 2022) similarly requires firms to demonstrate that automated decisions are fair and explainable to consumers. EMERALD-AI treats explainability not as an afterthought but as a non-negotiable design requirement embedded from the outset </w:t>
      </w:r>
      <w:proofErr w:type="gramStart"/>
      <w:r w:rsidRPr="00D869B6">
        <w:rPr>
          <w:lang w:bidi="th-TH"/>
        </w:rPr>
        <w:t>through the use of</w:t>
      </w:r>
      <w:proofErr w:type="gramEnd"/>
      <w:r w:rsidRPr="00D869B6">
        <w:rPr>
          <w:lang w:bidi="th-TH"/>
        </w:rPr>
        <w:t xml:space="preserve"> SHAP (</w:t>
      </w:r>
      <w:proofErr w:type="spellStart"/>
      <w:r w:rsidRPr="00D869B6">
        <w:rPr>
          <w:lang w:bidi="th-TH"/>
        </w:rPr>
        <w:t>SHapley</w:t>
      </w:r>
      <w:proofErr w:type="spellEnd"/>
      <w:r w:rsidRPr="00D869B6">
        <w:rPr>
          <w:lang w:bidi="th-TH"/>
        </w:rPr>
        <w:t xml:space="preserve"> Additive </w:t>
      </w:r>
      <w:proofErr w:type="spellStart"/>
      <w:proofErr w:type="gramStart"/>
      <w:r w:rsidRPr="00D869B6">
        <w:rPr>
          <w:lang w:bidi="th-TH"/>
        </w:rPr>
        <w:t>exPlanations</w:t>
      </w:r>
      <w:proofErr w:type="spellEnd"/>
      <w:proofErr w:type="gramEnd"/>
      <w:r w:rsidRPr="00D869B6">
        <w:rPr>
          <w:lang w:bidi="th-TH"/>
        </w:rPr>
        <w:t>) analysis.</w:t>
      </w:r>
    </w:p>
    <w:p w14:paraId="7C0E46C9" w14:textId="77777777" w:rsidR="00D869B6" w:rsidRPr="00D869B6" w:rsidRDefault="00D869B6" w:rsidP="00D869B6">
      <w:pPr>
        <w:rPr>
          <w:lang w:bidi="th-TH"/>
        </w:rPr>
      </w:pPr>
    </w:p>
    <w:p w14:paraId="4ABE8521" w14:textId="77777777" w:rsidR="00D869B6" w:rsidRPr="00D869B6" w:rsidRDefault="00D869B6" w:rsidP="00D869B6">
      <w:pPr>
        <w:rPr>
          <w:b/>
          <w:bCs/>
          <w:lang w:bidi="th-TH"/>
        </w:rPr>
      </w:pPr>
      <w:r w:rsidRPr="00D869B6">
        <w:rPr>
          <w:b/>
          <w:bCs/>
          <w:lang w:bidi="th-TH"/>
        </w:rPr>
        <w:lastRenderedPageBreak/>
        <w:t>3.4 Contribution to Climate Action</w:t>
      </w:r>
    </w:p>
    <w:p w14:paraId="0A06236D" w14:textId="77777777" w:rsidR="00D869B6" w:rsidRPr="00D869B6" w:rsidRDefault="00D869B6" w:rsidP="00D869B6">
      <w:pPr>
        <w:rPr>
          <w:lang w:bidi="th-TH"/>
        </w:rPr>
      </w:pPr>
      <w:r w:rsidRPr="00D869B6">
        <w:rPr>
          <w:lang w:bidi="th-TH"/>
        </w:rPr>
        <w:t xml:space="preserve">Poorly allocated green finance is not just a financial problem — it is an environmental one. Capital directed towards projects that fail to deliver genuine ecological benefit delays the adoption of clean technologies and undermines public trust in sustainable finance. Improving the quality of green credit decisions, even incrementally, contributes to the </w:t>
      </w:r>
      <w:proofErr w:type="spellStart"/>
      <w:r w:rsidRPr="00D869B6">
        <w:rPr>
          <w:lang w:bidi="th-TH"/>
        </w:rPr>
        <w:t>realisation</w:t>
      </w:r>
      <w:proofErr w:type="spellEnd"/>
      <w:r w:rsidRPr="00D869B6">
        <w:rPr>
          <w:lang w:bidi="th-TH"/>
        </w:rPr>
        <w:t xml:space="preserve"> of the United Nations Sustainable Development Goals — particularly SDG 7 (Affordable and Clean Energy), SDG 11 (Sustainable Cities and Communities), and SDG 13 (Climate </w:t>
      </w:r>
      <w:proofErr w:type="gramStart"/>
      <w:r w:rsidRPr="00D869B6">
        <w:rPr>
          <w:lang w:bidi="th-TH"/>
        </w:rPr>
        <w:t>Action) —</w:t>
      </w:r>
      <w:proofErr w:type="gramEnd"/>
      <w:r w:rsidRPr="00D869B6">
        <w:rPr>
          <w:lang w:bidi="th-TH"/>
        </w:rPr>
        <w:t xml:space="preserve"> and supports the financial system's broader alignment with the Paris Agreement.</w:t>
      </w:r>
    </w:p>
    <w:p w14:paraId="483C5143" w14:textId="77777777" w:rsidR="00D869B6" w:rsidRDefault="00D869B6" w:rsidP="00447E9E">
      <w:pPr>
        <w:rPr>
          <w:lang w:bidi="th-TH"/>
        </w:rPr>
      </w:pPr>
    </w:p>
    <w:p w14:paraId="58DD2CEF" w14:textId="77777777" w:rsidR="00D869B6" w:rsidRPr="00D869B6" w:rsidRDefault="00D869B6" w:rsidP="00D869B6">
      <w:pPr>
        <w:rPr>
          <w:b/>
          <w:bCs/>
          <w:lang w:bidi="th-TH"/>
        </w:rPr>
      </w:pPr>
      <w:r w:rsidRPr="00D869B6">
        <w:rPr>
          <w:b/>
          <w:bCs/>
          <w:lang w:bidi="th-TH"/>
        </w:rPr>
        <w:t>4. Research Objectives and Research Questions</w:t>
      </w:r>
    </w:p>
    <w:p w14:paraId="3811BD11" w14:textId="77777777" w:rsidR="00D869B6" w:rsidRPr="00D869B6" w:rsidRDefault="00D869B6" w:rsidP="00D869B6">
      <w:pPr>
        <w:rPr>
          <w:b/>
          <w:bCs/>
          <w:lang w:bidi="th-TH"/>
        </w:rPr>
      </w:pPr>
      <w:r w:rsidRPr="00D869B6">
        <w:rPr>
          <w:b/>
          <w:bCs/>
          <w:lang w:bidi="th-TH"/>
        </w:rPr>
        <w:t>4.1 Research Objectives</w:t>
      </w:r>
    </w:p>
    <w:p w14:paraId="1B8F12C4" w14:textId="77777777" w:rsidR="00D869B6" w:rsidRPr="00D869B6" w:rsidRDefault="00D869B6" w:rsidP="00D869B6">
      <w:pPr>
        <w:numPr>
          <w:ilvl w:val="0"/>
          <w:numId w:val="1"/>
        </w:numPr>
        <w:rPr>
          <w:lang w:bidi="th-TH"/>
        </w:rPr>
      </w:pPr>
      <w:r w:rsidRPr="00D869B6">
        <w:rPr>
          <w:lang w:bidi="th-TH"/>
        </w:rPr>
        <w:t>To conduct a thorough exploratory analysis of the 2019 All Funded Green Loan dataset to identify the statistical distributions, inter-feature relationships, and variables most strongly associated with green loan creditworthiness.</w:t>
      </w:r>
    </w:p>
    <w:p w14:paraId="5ACF97A8" w14:textId="77777777" w:rsidR="00D869B6" w:rsidRPr="00D869B6" w:rsidRDefault="00D869B6" w:rsidP="00D869B6">
      <w:pPr>
        <w:numPr>
          <w:ilvl w:val="0"/>
          <w:numId w:val="1"/>
        </w:numPr>
        <w:rPr>
          <w:lang w:bidi="th-TH"/>
        </w:rPr>
      </w:pPr>
      <w:r w:rsidRPr="00D869B6">
        <w:rPr>
          <w:lang w:bidi="th-TH"/>
        </w:rPr>
        <w:t>To design and implement an end-to-end supervised machine learning pipeline that integrates financial, operational, and borrower-level features from the dataset into a credit scoring model calibrated specifically for green loan assessment.</w:t>
      </w:r>
    </w:p>
    <w:p w14:paraId="03E39CA9" w14:textId="3633CCC6" w:rsidR="00D869B6" w:rsidRDefault="00D869B6" w:rsidP="00447E9E">
      <w:pPr>
        <w:numPr>
          <w:ilvl w:val="0"/>
          <w:numId w:val="1"/>
        </w:numPr>
        <w:rPr>
          <w:lang w:bidi="th-TH"/>
        </w:rPr>
      </w:pPr>
      <w:r w:rsidRPr="00D869B6">
        <w:rPr>
          <w:lang w:bidi="th-TH"/>
        </w:rPr>
        <w:t xml:space="preserve">To train, </w:t>
      </w:r>
      <w:proofErr w:type="spellStart"/>
      <w:r w:rsidRPr="00D869B6">
        <w:rPr>
          <w:lang w:bidi="th-TH"/>
        </w:rPr>
        <w:t>optimise</w:t>
      </w:r>
      <w:proofErr w:type="spellEnd"/>
      <w:r w:rsidRPr="00D869B6">
        <w:rPr>
          <w:lang w:bidi="th-TH"/>
        </w:rPr>
        <w:t xml:space="preserve">, and compare four ML algorithms — Logistic Regression, Random Forest, </w:t>
      </w:r>
      <w:proofErr w:type="spellStart"/>
      <w:r w:rsidRPr="00D869B6">
        <w:rPr>
          <w:lang w:bidi="th-TH"/>
        </w:rPr>
        <w:t>XGBoost</w:t>
      </w:r>
      <w:proofErr w:type="spellEnd"/>
      <w:r w:rsidRPr="00D869B6">
        <w:rPr>
          <w:lang w:bidi="th-TH"/>
        </w:rPr>
        <w:t>, and a Multi-Layer Perceptron Neural Network — using rigorous 10-fold stratified cross-validation and standard credit risk evaluation metrics.</w:t>
      </w:r>
    </w:p>
    <w:p w14:paraId="07F421F4" w14:textId="77777777" w:rsidR="00D869B6" w:rsidRPr="00D869B6" w:rsidRDefault="00D869B6" w:rsidP="00D869B6">
      <w:pPr>
        <w:numPr>
          <w:ilvl w:val="0"/>
          <w:numId w:val="1"/>
        </w:numPr>
        <w:rPr>
          <w:lang w:bidi="th-TH"/>
        </w:rPr>
      </w:pPr>
      <w:r w:rsidRPr="00D869B6">
        <w:rPr>
          <w:lang w:bidi="th-TH"/>
        </w:rPr>
        <w:t>To apply SHAP-based Explainable AI (XAI) techniques to produce transparent, interpretable explanations of credit decisions at both global (model-level) and local (individual borrower-level) scales, in compliance with emerging AI regulation.</w:t>
      </w:r>
    </w:p>
    <w:p w14:paraId="3BC73ABF" w14:textId="77777777" w:rsidR="00D869B6" w:rsidRPr="00D869B6" w:rsidRDefault="00D869B6" w:rsidP="00D869B6">
      <w:pPr>
        <w:numPr>
          <w:ilvl w:val="0"/>
          <w:numId w:val="1"/>
        </w:numPr>
        <w:rPr>
          <w:lang w:bidi="th-TH"/>
        </w:rPr>
      </w:pPr>
      <w:r w:rsidRPr="00D869B6">
        <w:rPr>
          <w:lang w:bidi="th-TH"/>
        </w:rPr>
        <w:t xml:space="preserve">To develop and deploy a full-stack web application — the EMERALD-AI </w:t>
      </w:r>
      <w:proofErr w:type="gramStart"/>
      <w:r w:rsidRPr="00D869B6">
        <w:rPr>
          <w:lang w:bidi="th-TH"/>
        </w:rPr>
        <w:t>platform — that</w:t>
      </w:r>
      <w:proofErr w:type="gramEnd"/>
      <w:r w:rsidRPr="00D869B6">
        <w:rPr>
          <w:lang w:bidi="th-TH"/>
        </w:rPr>
        <w:t xml:space="preserve"> makes the trained model accessible through a professional interactive interface, including single-borrower prediction, batch CSV scoring, and a SHAP feature explorer.</w:t>
      </w:r>
    </w:p>
    <w:p w14:paraId="65259890" w14:textId="77777777" w:rsidR="00D869B6" w:rsidRPr="00D869B6" w:rsidRDefault="00D869B6" w:rsidP="00D869B6">
      <w:pPr>
        <w:rPr>
          <w:lang w:bidi="th-TH"/>
        </w:rPr>
      </w:pPr>
    </w:p>
    <w:p w14:paraId="6E5AAAB8" w14:textId="77777777" w:rsidR="00D869B6" w:rsidRPr="00D869B6" w:rsidRDefault="00D869B6" w:rsidP="00D869B6">
      <w:pPr>
        <w:rPr>
          <w:b/>
          <w:bCs/>
          <w:lang w:bidi="th-TH"/>
        </w:rPr>
      </w:pPr>
      <w:r w:rsidRPr="00D869B6">
        <w:rPr>
          <w:b/>
          <w:bCs/>
          <w:lang w:bidi="th-TH"/>
        </w:rPr>
        <w:t>4.2 Research Questions</w:t>
      </w:r>
    </w:p>
    <w:p w14:paraId="27544FF4" w14:textId="77777777" w:rsidR="00D869B6" w:rsidRPr="00D869B6" w:rsidRDefault="00D869B6" w:rsidP="00D869B6">
      <w:pPr>
        <w:numPr>
          <w:ilvl w:val="0"/>
          <w:numId w:val="2"/>
        </w:numPr>
        <w:rPr>
          <w:lang w:bidi="th-TH"/>
        </w:rPr>
      </w:pPr>
      <w:r w:rsidRPr="00D869B6">
        <w:rPr>
          <w:lang w:bidi="th-TH"/>
        </w:rPr>
        <w:lastRenderedPageBreak/>
        <w:t>RQ1: Which variables in the 2019 green loan dataset are the strongest predictors of borrower creditworthiness, and do they differ meaningfully from the predictors used in conventional credit scoring?</w:t>
      </w:r>
    </w:p>
    <w:p w14:paraId="688C07E6" w14:textId="77777777" w:rsidR="00D869B6" w:rsidRPr="00D869B6" w:rsidRDefault="00D869B6" w:rsidP="00D869B6">
      <w:pPr>
        <w:numPr>
          <w:ilvl w:val="0"/>
          <w:numId w:val="2"/>
        </w:numPr>
        <w:rPr>
          <w:lang w:bidi="th-TH"/>
        </w:rPr>
      </w:pPr>
      <w:r w:rsidRPr="00D869B6">
        <w:rPr>
          <w:lang w:bidi="th-TH"/>
        </w:rPr>
        <w:t>RQ2: How do the four ML models compare in terms of Accuracy, Precision, Recall, F1-Score, AUC-ROC, and Kolmogorov-Smirnov Statistic when applied to green loan transaction data?</w:t>
      </w:r>
    </w:p>
    <w:p w14:paraId="5F17EE9A" w14:textId="77777777" w:rsidR="00D869B6" w:rsidRPr="00D869B6" w:rsidRDefault="00D869B6" w:rsidP="00D869B6">
      <w:pPr>
        <w:numPr>
          <w:ilvl w:val="0"/>
          <w:numId w:val="2"/>
        </w:numPr>
        <w:rPr>
          <w:lang w:bidi="th-TH"/>
        </w:rPr>
      </w:pPr>
      <w:r w:rsidRPr="00D869B6">
        <w:rPr>
          <w:lang w:bidi="th-TH"/>
        </w:rPr>
        <w:t>RQ3: Can SHAP-based explainability techniques generate explanations that are both clear enough to satisfy regulatory transparency requirements and practical enough for use by lending officers?</w:t>
      </w:r>
    </w:p>
    <w:p w14:paraId="342960F0" w14:textId="77777777" w:rsidR="00D869B6" w:rsidRPr="00D869B6" w:rsidRDefault="00D869B6" w:rsidP="00D869B6">
      <w:pPr>
        <w:numPr>
          <w:ilvl w:val="0"/>
          <w:numId w:val="2"/>
        </w:numPr>
        <w:rPr>
          <w:lang w:bidi="th-TH"/>
        </w:rPr>
      </w:pPr>
      <w:r w:rsidRPr="00D869B6">
        <w:rPr>
          <w:lang w:bidi="th-TH"/>
        </w:rPr>
        <w:t>RQ4: How effectively does the EMERALD-AI web application communicate AI credit scoring outputs — including predictions, risk bands, and feature explanations — to non-technical stakeholders in a green lending context?</w:t>
      </w:r>
    </w:p>
    <w:p w14:paraId="6987702A" w14:textId="77777777" w:rsidR="00D869B6" w:rsidRDefault="00D869B6" w:rsidP="00447E9E">
      <w:pPr>
        <w:rPr>
          <w:lang w:bidi="th-TH"/>
        </w:rPr>
      </w:pPr>
    </w:p>
    <w:p w14:paraId="427D960B" w14:textId="77777777" w:rsidR="00D869B6" w:rsidRPr="00D869B6" w:rsidRDefault="00D869B6" w:rsidP="00D869B6">
      <w:pPr>
        <w:rPr>
          <w:b/>
          <w:bCs/>
          <w:lang w:bidi="th-TH"/>
        </w:rPr>
      </w:pPr>
      <w:r w:rsidRPr="00D869B6">
        <w:rPr>
          <w:b/>
          <w:bCs/>
          <w:lang w:bidi="th-TH"/>
        </w:rPr>
        <w:t>5. Brief Literature Review</w:t>
      </w:r>
    </w:p>
    <w:p w14:paraId="66F1F451" w14:textId="77777777" w:rsidR="00D869B6" w:rsidRPr="00D869B6" w:rsidRDefault="00D869B6" w:rsidP="00D869B6">
      <w:pPr>
        <w:rPr>
          <w:b/>
          <w:bCs/>
          <w:lang w:bidi="th-TH"/>
        </w:rPr>
      </w:pPr>
      <w:r w:rsidRPr="00D869B6">
        <w:rPr>
          <w:b/>
          <w:bCs/>
          <w:lang w:bidi="th-TH"/>
        </w:rPr>
        <w:t>5.1 Machine Learning for Credit Scoring</w:t>
      </w:r>
    </w:p>
    <w:p w14:paraId="6B36BCD6" w14:textId="77777777" w:rsidR="00D869B6" w:rsidRPr="00D869B6" w:rsidRDefault="00D869B6" w:rsidP="00D869B6">
      <w:pPr>
        <w:rPr>
          <w:lang w:bidi="th-TH"/>
        </w:rPr>
      </w:pPr>
      <w:r w:rsidRPr="00D869B6">
        <w:rPr>
          <w:lang w:bidi="th-TH"/>
        </w:rPr>
        <w:t xml:space="preserve">The academic case for machine learning in credit risk is well-established. </w:t>
      </w:r>
      <w:proofErr w:type="spellStart"/>
      <w:r w:rsidRPr="00D869B6">
        <w:rPr>
          <w:lang w:bidi="th-TH"/>
        </w:rPr>
        <w:t>Baesens</w:t>
      </w:r>
      <w:proofErr w:type="spellEnd"/>
      <w:r w:rsidRPr="00D869B6">
        <w:rPr>
          <w:lang w:bidi="th-TH"/>
        </w:rPr>
        <w:t xml:space="preserve"> et al. (2003) carried out one of the first systematic comparative evaluations of classification algorithms on real credit datasets, demonstrating that neural networks and support vector machines consistently outperformed the logistic regression models that banks had traditionally relied on. More than a decade later, Lessmann et al. (2015) extended this benchmarking exercise to 41 classifiers and found that ensemble methods — particularly gradient boosting and random forests — produced the most reliable performance across a range of credit datasets. Dumitrescu et al. (2022) subsequently made a compelling case for models that balance predictive power with interpretability, arguing that </w:t>
      </w:r>
      <w:proofErr w:type="spellStart"/>
      <w:r w:rsidRPr="00D869B6">
        <w:rPr>
          <w:lang w:bidi="th-TH"/>
        </w:rPr>
        <w:t>penalised</w:t>
      </w:r>
      <w:proofErr w:type="spellEnd"/>
      <w:r w:rsidRPr="00D869B6">
        <w:rPr>
          <w:lang w:bidi="th-TH"/>
        </w:rPr>
        <w:t xml:space="preserve"> logistic regression augmented with decision tree interaction effects can match the accuracy of more complex algorithms while remaining far more transparent. This tension between performance and explainability is one of the central themes that EMERALD-AI seeks to navigate.</w:t>
      </w:r>
    </w:p>
    <w:p w14:paraId="2DF74FC9" w14:textId="77777777" w:rsidR="00D869B6" w:rsidRPr="00D869B6" w:rsidRDefault="00D869B6" w:rsidP="00D869B6">
      <w:pPr>
        <w:rPr>
          <w:lang w:bidi="th-TH"/>
        </w:rPr>
      </w:pPr>
    </w:p>
    <w:p w14:paraId="03BC972F" w14:textId="77777777" w:rsidR="00D869B6" w:rsidRPr="00D869B6" w:rsidRDefault="00D869B6" w:rsidP="00D869B6">
      <w:pPr>
        <w:rPr>
          <w:b/>
          <w:bCs/>
          <w:lang w:bidi="th-TH"/>
        </w:rPr>
      </w:pPr>
      <w:r w:rsidRPr="00D869B6">
        <w:rPr>
          <w:b/>
          <w:bCs/>
          <w:lang w:bidi="th-TH"/>
        </w:rPr>
        <w:t>5.2 Green Finance: Principles and Challenges</w:t>
      </w:r>
    </w:p>
    <w:p w14:paraId="75008C49" w14:textId="77777777" w:rsidR="00D869B6" w:rsidRPr="00D869B6" w:rsidRDefault="00D869B6" w:rsidP="00D869B6">
      <w:pPr>
        <w:rPr>
          <w:lang w:bidi="th-TH"/>
        </w:rPr>
      </w:pPr>
      <w:r w:rsidRPr="00D869B6">
        <w:rPr>
          <w:lang w:bidi="th-TH"/>
        </w:rPr>
        <w:t xml:space="preserve">Green finance has grown rapidly as institutional investors and governments have sought to align capital flows with environmental objectives. The Green Loan Principles, maintained by the Loan Market Association et al. (2023), set voluntary governance standards for green </w:t>
      </w:r>
      <w:r w:rsidRPr="00D869B6">
        <w:rPr>
          <w:lang w:bidi="th-TH"/>
        </w:rPr>
        <w:lastRenderedPageBreak/>
        <w:t>loan issuance, including requirements around use of proceeds, project evaluation, and periodic reporting. Despite these standards, Ehlers and Packer (2017) argued that the green debt market continues to suffer from significant information asymmetry: borrowers know considerably more about the true environmental quality of their projects than lenders do, which creates both credit risk and the risk of greenwashing — where loans are labelled green without genuinely qualifying as such. Flammer (2021) provided empirical evidence that green financing can genuinely improve corporate environmental performance when the issuance process is rigorous, underscoring the importance of accurate, well-calibrated credit assessment tools.</w:t>
      </w:r>
    </w:p>
    <w:p w14:paraId="3112BEC9" w14:textId="77777777" w:rsidR="00D869B6" w:rsidRPr="00D869B6" w:rsidRDefault="00D869B6" w:rsidP="00D869B6">
      <w:pPr>
        <w:rPr>
          <w:lang w:bidi="th-TH"/>
        </w:rPr>
      </w:pPr>
    </w:p>
    <w:p w14:paraId="372DFF02" w14:textId="77777777" w:rsidR="00D869B6" w:rsidRPr="00D869B6" w:rsidRDefault="00D869B6" w:rsidP="00D869B6">
      <w:pPr>
        <w:rPr>
          <w:b/>
          <w:bCs/>
          <w:lang w:bidi="th-TH"/>
        </w:rPr>
      </w:pPr>
      <w:r w:rsidRPr="00D869B6">
        <w:rPr>
          <w:b/>
          <w:bCs/>
          <w:lang w:bidi="th-TH"/>
        </w:rPr>
        <w:t>5.3 AI in Sustainable Finance — An Emerging Frontier</w:t>
      </w:r>
    </w:p>
    <w:p w14:paraId="7A9CCF55" w14:textId="77777777" w:rsidR="00D869B6" w:rsidRPr="00D869B6" w:rsidRDefault="00D869B6" w:rsidP="00D869B6">
      <w:pPr>
        <w:rPr>
          <w:lang w:bidi="th-TH"/>
        </w:rPr>
      </w:pPr>
      <w:r w:rsidRPr="00D869B6">
        <w:rPr>
          <w:lang w:bidi="th-TH"/>
        </w:rPr>
        <w:t xml:space="preserve">Research specifically combining AI with green lending is limited, which is one of the reasons this dissertation is both timely and relevant. Tang and Zhang (2020) examined how green credit policies in China influenced firm-level environmental </w:t>
      </w:r>
      <w:proofErr w:type="spellStart"/>
      <w:r w:rsidRPr="00D869B6">
        <w:rPr>
          <w:lang w:bidi="th-TH"/>
        </w:rPr>
        <w:t>behaviour</w:t>
      </w:r>
      <w:proofErr w:type="spellEnd"/>
      <w:r w:rsidRPr="00D869B6">
        <w:rPr>
          <w:lang w:bidi="th-TH"/>
        </w:rPr>
        <w:t>, and Reboredo and Ugolini (2020) explored price linkages between green bonds and conventional financial markets, but neither produced an ML credit scoring framework designed for green loan portfolios. The gap that EMERALD-AI addresses — a purpose-built, empirically validated, explainable ML scoring system trained on real green loan data — remains unoccupied in the published literature.</w:t>
      </w:r>
    </w:p>
    <w:p w14:paraId="6CCAE763" w14:textId="77777777" w:rsidR="00D869B6" w:rsidRPr="00D869B6" w:rsidRDefault="00D869B6" w:rsidP="00D869B6">
      <w:pPr>
        <w:rPr>
          <w:lang w:bidi="th-TH"/>
        </w:rPr>
      </w:pPr>
    </w:p>
    <w:p w14:paraId="3F1BB661" w14:textId="77777777" w:rsidR="00D869B6" w:rsidRPr="00D869B6" w:rsidRDefault="00D869B6" w:rsidP="00D869B6">
      <w:pPr>
        <w:rPr>
          <w:b/>
          <w:bCs/>
          <w:lang w:bidi="th-TH"/>
        </w:rPr>
      </w:pPr>
      <w:r w:rsidRPr="00D869B6">
        <w:rPr>
          <w:b/>
          <w:bCs/>
          <w:lang w:bidi="th-TH"/>
        </w:rPr>
        <w:t>5.4 Explainable AI and Financial Regulation</w:t>
      </w:r>
    </w:p>
    <w:p w14:paraId="253072FE" w14:textId="77777777" w:rsidR="00D869B6" w:rsidRPr="00D869B6" w:rsidRDefault="00D869B6" w:rsidP="00D869B6">
      <w:pPr>
        <w:rPr>
          <w:lang w:bidi="th-TH"/>
        </w:rPr>
      </w:pPr>
      <w:r w:rsidRPr="00D869B6">
        <w:rPr>
          <w:lang w:bidi="th-TH"/>
        </w:rPr>
        <w:t>The regulatory landscape for AI in financial services is tightening quickly. The EU AI Act (European Commission, 2021) explicitly classifies credit scoring as a high-risk AI application, requiring mandatory transparency, auditability, and meaningful human oversight. The FCA's Consumer Duty (2022) similarly requires that firms demonstrate automated decisions are fair and explainable. Lundberg and Lee (2017) introduced SHAP values — derived from cooperative game theory — as a mathematically principled method for attributing model predictions to individual input features. SHAP provides explanations at both the model level (global feature importance) and the individual prediction level (why this specific borrower received this score), making it the most regulatory-compatible explainability framework currently available and the core transparency mechanism in EMERALD-AI.</w:t>
      </w:r>
    </w:p>
    <w:p w14:paraId="4EB84640" w14:textId="77777777" w:rsidR="00D869B6" w:rsidRPr="00D869B6" w:rsidRDefault="00D869B6" w:rsidP="00D869B6">
      <w:pPr>
        <w:rPr>
          <w:lang w:bidi="th-TH"/>
        </w:rPr>
      </w:pPr>
    </w:p>
    <w:p w14:paraId="0E6BE623" w14:textId="77777777" w:rsidR="00D869B6" w:rsidRPr="00D869B6" w:rsidRDefault="00D869B6" w:rsidP="00D869B6">
      <w:pPr>
        <w:rPr>
          <w:b/>
          <w:bCs/>
          <w:lang w:bidi="th-TH"/>
        </w:rPr>
      </w:pPr>
      <w:r w:rsidRPr="00D869B6">
        <w:rPr>
          <w:b/>
          <w:bCs/>
          <w:lang w:bidi="th-TH"/>
        </w:rPr>
        <w:t>6. Methodology</w:t>
      </w:r>
    </w:p>
    <w:p w14:paraId="5C687ADF" w14:textId="77777777" w:rsidR="00D869B6" w:rsidRPr="00D869B6" w:rsidRDefault="00D869B6" w:rsidP="00D869B6">
      <w:pPr>
        <w:rPr>
          <w:b/>
          <w:bCs/>
          <w:lang w:bidi="th-TH"/>
        </w:rPr>
      </w:pPr>
      <w:r w:rsidRPr="00D869B6">
        <w:rPr>
          <w:b/>
          <w:bCs/>
          <w:lang w:bidi="th-TH"/>
        </w:rPr>
        <w:lastRenderedPageBreak/>
        <w:t>6.1 Research Design</w:t>
      </w:r>
    </w:p>
    <w:p w14:paraId="2F3E92A8" w14:textId="77777777" w:rsidR="00D869B6" w:rsidRPr="00D869B6" w:rsidRDefault="00D869B6" w:rsidP="00D869B6">
      <w:pPr>
        <w:rPr>
          <w:lang w:bidi="th-TH"/>
        </w:rPr>
      </w:pPr>
      <w:r w:rsidRPr="00D869B6">
        <w:rPr>
          <w:lang w:bidi="th-TH"/>
        </w:rPr>
        <w:t>This is a quantitative, positivist research project with a strong applied orientation. The methodology follows an end-to-end ML pipeline — data acquisition, preprocessing, feature engineering, model training, evaluation, and explainability analysis — culminating in the deployment of an interactive web application that makes all pipeline outputs accessible to non-technical users.</w:t>
      </w:r>
    </w:p>
    <w:p w14:paraId="0E8D021D" w14:textId="77777777" w:rsidR="00D869B6" w:rsidRPr="00D869B6" w:rsidRDefault="00D869B6" w:rsidP="00D869B6">
      <w:pPr>
        <w:rPr>
          <w:lang w:bidi="th-TH"/>
        </w:rPr>
      </w:pPr>
    </w:p>
    <w:p w14:paraId="5296C629" w14:textId="77777777" w:rsidR="00D869B6" w:rsidRPr="00D869B6" w:rsidRDefault="00D869B6" w:rsidP="00D869B6">
      <w:pPr>
        <w:rPr>
          <w:b/>
          <w:bCs/>
          <w:lang w:bidi="th-TH"/>
        </w:rPr>
      </w:pPr>
      <w:r w:rsidRPr="00D869B6">
        <w:rPr>
          <w:b/>
          <w:bCs/>
          <w:lang w:bidi="th-TH"/>
        </w:rPr>
        <w:t>6.2 Data Source</w:t>
      </w:r>
    </w:p>
    <w:p w14:paraId="7D3CF280" w14:textId="77777777" w:rsidR="00D869B6" w:rsidRPr="00D869B6" w:rsidRDefault="00D869B6" w:rsidP="00D869B6">
      <w:pPr>
        <w:rPr>
          <w:lang w:bidi="th-TH"/>
        </w:rPr>
      </w:pPr>
      <w:r w:rsidRPr="00D869B6">
        <w:rPr>
          <w:lang w:bidi="th-TH"/>
        </w:rPr>
        <w:t xml:space="preserve">The primary data source is the 2019 All Funded Green Loan Dataset — a proprietary real-world dataset of 14,135 funded green loan transactions comprising 166 structured variables. The dataset captures the complete loan lifecycle: borrower financial indicators (Credit Score, Average Monthly Sales, Time in Business), loan characteristics (Amount Funded, Amount Sought, APR, Factor Rate, Payback, Commission, Term), deal progression milestones (Start, Offer Received, Contract Signed, Deal Closed), and classification fields (Industry, Borrower State, Current Tier, Lender, Product Type). The Deal Status field — comprising the values </w:t>
      </w:r>
      <w:proofErr w:type="spellStart"/>
      <w:r w:rsidRPr="00D869B6">
        <w:rPr>
          <w:lang w:bidi="th-TH"/>
        </w:rPr>
        <w:t>paidOff</w:t>
      </w:r>
      <w:proofErr w:type="spellEnd"/>
      <w:r w:rsidRPr="00D869B6">
        <w:rPr>
          <w:lang w:bidi="th-TH"/>
        </w:rPr>
        <w:t xml:space="preserve">, current, default, and behind — provides the basis for constructing a binary creditworthiness target variable: </w:t>
      </w:r>
      <w:proofErr w:type="spellStart"/>
      <w:r w:rsidRPr="00D869B6">
        <w:rPr>
          <w:lang w:bidi="th-TH"/>
        </w:rPr>
        <w:t>paidOff</w:t>
      </w:r>
      <w:proofErr w:type="spellEnd"/>
      <w:r w:rsidRPr="00D869B6">
        <w:rPr>
          <w:lang w:bidi="th-TH"/>
        </w:rPr>
        <w:t xml:space="preserve"> and current are coded as creditworthy (1); default and behind are coded as high-risk (0). Of the 14,135 records, 14,022 carry a valid Deal Status label, yielding the labelled dataset used for model training and evaluation.</w:t>
      </w:r>
    </w:p>
    <w:p w14:paraId="26301003" w14:textId="77777777" w:rsidR="00D869B6" w:rsidRPr="00D869B6" w:rsidRDefault="00D869B6" w:rsidP="00D869B6">
      <w:pPr>
        <w:rPr>
          <w:lang w:bidi="th-TH"/>
        </w:rPr>
      </w:pPr>
    </w:p>
    <w:p w14:paraId="1CE31224" w14:textId="77777777" w:rsidR="00D869B6" w:rsidRPr="00D869B6" w:rsidRDefault="00D869B6" w:rsidP="00D869B6">
      <w:pPr>
        <w:rPr>
          <w:b/>
          <w:bCs/>
          <w:lang w:bidi="th-TH"/>
        </w:rPr>
      </w:pPr>
      <w:r w:rsidRPr="00D869B6">
        <w:rPr>
          <w:b/>
          <w:bCs/>
          <w:lang w:bidi="th-TH"/>
        </w:rPr>
        <w:t>6.3 Machine Learning Pipeline</w:t>
      </w:r>
    </w:p>
    <w:p w14:paraId="4E3BBAC1" w14:textId="77777777" w:rsidR="00D869B6" w:rsidRPr="00D869B6" w:rsidRDefault="00D869B6" w:rsidP="00D869B6">
      <w:pPr>
        <w:rPr>
          <w:lang w:bidi="th-TH"/>
        </w:rPr>
      </w:pPr>
      <w:r w:rsidRPr="00D869B6">
        <w:rPr>
          <w:lang w:bidi="th-TH"/>
        </w:rPr>
        <w:t>Data preprocessing involves four stages: (</w:t>
      </w:r>
      <w:proofErr w:type="spellStart"/>
      <w:r w:rsidRPr="00D869B6">
        <w:rPr>
          <w:lang w:bidi="th-TH"/>
        </w:rPr>
        <w:t>i</w:t>
      </w:r>
      <w:proofErr w:type="spellEnd"/>
      <w:r w:rsidRPr="00D869B6">
        <w:rPr>
          <w:lang w:bidi="th-TH"/>
        </w:rPr>
        <w:t xml:space="preserve">) a missing data audit to remove or impute sparse variables; (ii) label encoding for categorical features (Industry, Borrower State) using </w:t>
      </w:r>
      <w:proofErr w:type="spellStart"/>
      <w:r w:rsidRPr="00D869B6">
        <w:rPr>
          <w:lang w:bidi="th-TH"/>
        </w:rPr>
        <w:t>LabelEncoder</w:t>
      </w:r>
      <w:proofErr w:type="spellEnd"/>
      <w:r w:rsidRPr="00D869B6">
        <w:rPr>
          <w:lang w:bidi="th-TH"/>
        </w:rPr>
        <w:t xml:space="preserve"> fitted on the training set; (iii) feature selection using Random Forest Gini importance and Recursive Feature Elimination, reducing the 166 raw variables to the 12 most predictive features; and (iv) class imbalance correction using Synthetic Minority Oversampling Technique (SMOTE), applied within the training fold only during cross-validation to prevent data leakage. Four supervised classifiers are trained and evaluated under 10-fold stratified cross-validation: Logistic Regression (interpretable baseline), Random Forest (primary ensemble model), </w:t>
      </w:r>
      <w:proofErr w:type="spellStart"/>
      <w:r w:rsidRPr="00D869B6">
        <w:rPr>
          <w:lang w:bidi="th-TH"/>
        </w:rPr>
        <w:t>XGBoost</w:t>
      </w:r>
      <w:proofErr w:type="spellEnd"/>
      <w:r w:rsidRPr="00D869B6">
        <w:rPr>
          <w:lang w:bidi="th-TH"/>
        </w:rPr>
        <w:t xml:space="preserve"> (state-of-the-art gradient boosting), and a Multi-Layer Perceptron Neural Network (deep learning comparison). Performance is assessed using Accuracy, Precision, Recall, F1-Score, AUC-ROC, and the Kolmogorov-Smirnov Statistic. SHAP </w:t>
      </w:r>
      <w:proofErr w:type="spellStart"/>
      <w:r w:rsidRPr="00D869B6">
        <w:rPr>
          <w:lang w:bidi="th-TH"/>
        </w:rPr>
        <w:t>TreeExplainer</w:t>
      </w:r>
      <w:proofErr w:type="spellEnd"/>
      <w:r w:rsidRPr="00D869B6">
        <w:rPr>
          <w:lang w:bidi="th-TH"/>
        </w:rPr>
        <w:t xml:space="preserve"> is applied to the best-performing model to generate global feature importance rankings and individual-level prediction explanations.</w:t>
      </w:r>
    </w:p>
    <w:p w14:paraId="6478697C" w14:textId="77777777" w:rsidR="00D869B6" w:rsidRPr="00D869B6" w:rsidRDefault="00D869B6" w:rsidP="00D869B6">
      <w:pPr>
        <w:rPr>
          <w:lang w:bidi="th-TH"/>
        </w:rPr>
      </w:pPr>
    </w:p>
    <w:p w14:paraId="7A739F0C" w14:textId="77777777" w:rsidR="00D869B6" w:rsidRPr="00D869B6" w:rsidRDefault="00D869B6" w:rsidP="00D869B6">
      <w:pPr>
        <w:rPr>
          <w:b/>
          <w:bCs/>
          <w:lang w:bidi="th-TH"/>
        </w:rPr>
      </w:pPr>
      <w:r w:rsidRPr="00D869B6">
        <w:rPr>
          <w:b/>
          <w:bCs/>
          <w:lang w:bidi="th-TH"/>
        </w:rPr>
        <w:t>6.4 Web Application Architecture</w:t>
      </w:r>
    </w:p>
    <w:p w14:paraId="40A989DE" w14:textId="77777777" w:rsidR="00D869B6" w:rsidRPr="00D869B6" w:rsidRDefault="00D869B6" w:rsidP="00D869B6">
      <w:pPr>
        <w:rPr>
          <w:lang w:bidi="th-TH"/>
        </w:rPr>
      </w:pPr>
      <w:r w:rsidRPr="00D869B6">
        <w:rPr>
          <w:lang w:bidi="th-TH"/>
        </w:rPr>
        <w:t xml:space="preserve">A central and distinctive output of this dissertation is the EMERALD-AI full-stack web application, which </w:t>
      </w:r>
      <w:proofErr w:type="spellStart"/>
      <w:r w:rsidRPr="00D869B6">
        <w:rPr>
          <w:lang w:bidi="th-TH"/>
        </w:rPr>
        <w:t>operationalises</w:t>
      </w:r>
      <w:proofErr w:type="spellEnd"/>
      <w:r w:rsidRPr="00D869B6">
        <w:rPr>
          <w:lang w:bidi="th-TH"/>
        </w:rPr>
        <w:t xml:space="preserve"> the trained model in an accessible, interactive interface. The application is structured as two independent services that communicate over a RESTful API:</w:t>
      </w:r>
    </w:p>
    <w:p w14:paraId="75DA5D88" w14:textId="77777777" w:rsidR="00D869B6" w:rsidRDefault="00D869B6" w:rsidP="00447E9E">
      <w:pPr>
        <w:rPr>
          <w:lang w:bidi="th-TH"/>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D869B6" w:rsidRPr="00D869B6" w14:paraId="746E5E1C" w14:textId="77777777">
        <w:tc>
          <w:tcPr>
            <w:tcW w:w="1800" w:type="dxa"/>
            <w:tcBorders>
              <w:top w:val="single" w:sz="6" w:space="0" w:color="CCCCCC"/>
              <w:left w:val="single" w:sz="6" w:space="0" w:color="CCCCCC"/>
              <w:bottom w:val="single" w:sz="6" w:space="0" w:color="CCCCCC"/>
              <w:right w:val="single" w:sz="6" w:space="0" w:color="CCCCCC"/>
            </w:tcBorders>
            <w:shd w:val="clear" w:color="auto" w:fill="1A3A5C"/>
            <w:tcMar>
              <w:top w:w="100" w:type="dxa"/>
              <w:left w:w="140" w:type="dxa"/>
              <w:bottom w:w="100" w:type="dxa"/>
              <w:right w:w="140" w:type="dxa"/>
            </w:tcMar>
            <w:hideMark/>
          </w:tcPr>
          <w:p w14:paraId="591358A1" w14:textId="77777777" w:rsidR="00D869B6" w:rsidRPr="00D869B6" w:rsidRDefault="00D869B6" w:rsidP="00D869B6">
            <w:pPr>
              <w:rPr>
                <w:lang w:bidi="th-TH"/>
              </w:rPr>
            </w:pPr>
            <w:r w:rsidRPr="00D869B6">
              <w:rPr>
                <w:b/>
                <w:bCs/>
                <w:lang w:bidi="th-TH"/>
              </w:rPr>
              <w:t>Layer</w:t>
            </w:r>
          </w:p>
        </w:tc>
        <w:tc>
          <w:tcPr>
            <w:tcW w:w="3780" w:type="dxa"/>
            <w:tcBorders>
              <w:top w:val="single" w:sz="6" w:space="0" w:color="CCCCCC"/>
              <w:left w:val="single" w:sz="6" w:space="0" w:color="CCCCCC"/>
              <w:bottom w:val="single" w:sz="6" w:space="0" w:color="CCCCCC"/>
              <w:right w:val="single" w:sz="6" w:space="0" w:color="CCCCCC"/>
            </w:tcBorders>
            <w:shd w:val="clear" w:color="auto" w:fill="1A3A5C"/>
            <w:tcMar>
              <w:top w:w="100" w:type="dxa"/>
              <w:left w:w="140" w:type="dxa"/>
              <w:bottom w:w="100" w:type="dxa"/>
              <w:right w:w="140" w:type="dxa"/>
            </w:tcMar>
            <w:hideMark/>
          </w:tcPr>
          <w:p w14:paraId="563BF9AB" w14:textId="77777777" w:rsidR="00D869B6" w:rsidRPr="00D869B6" w:rsidRDefault="00D869B6" w:rsidP="00D869B6">
            <w:pPr>
              <w:rPr>
                <w:lang w:bidi="th-TH"/>
              </w:rPr>
            </w:pPr>
            <w:r w:rsidRPr="00D869B6">
              <w:rPr>
                <w:b/>
                <w:bCs/>
                <w:lang w:bidi="th-TH"/>
              </w:rPr>
              <w:t>Technology</w:t>
            </w:r>
          </w:p>
        </w:tc>
        <w:tc>
          <w:tcPr>
            <w:tcW w:w="3780" w:type="dxa"/>
            <w:tcBorders>
              <w:top w:val="single" w:sz="6" w:space="0" w:color="CCCCCC"/>
              <w:left w:val="single" w:sz="6" w:space="0" w:color="CCCCCC"/>
              <w:bottom w:val="single" w:sz="6" w:space="0" w:color="CCCCCC"/>
              <w:right w:val="single" w:sz="6" w:space="0" w:color="CCCCCC"/>
            </w:tcBorders>
            <w:shd w:val="clear" w:color="auto" w:fill="1A3A5C"/>
            <w:tcMar>
              <w:top w:w="100" w:type="dxa"/>
              <w:left w:w="140" w:type="dxa"/>
              <w:bottom w:w="100" w:type="dxa"/>
              <w:right w:w="140" w:type="dxa"/>
            </w:tcMar>
            <w:hideMark/>
          </w:tcPr>
          <w:p w14:paraId="55E60583" w14:textId="77777777" w:rsidR="00D869B6" w:rsidRPr="00D869B6" w:rsidRDefault="00D869B6" w:rsidP="00D869B6">
            <w:pPr>
              <w:rPr>
                <w:lang w:bidi="th-TH"/>
              </w:rPr>
            </w:pPr>
            <w:r w:rsidRPr="00D869B6">
              <w:rPr>
                <w:b/>
                <w:bCs/>
                <w:lang w:bidi="th-TH"/>
              </w:rPr>
              <w:t>Function</w:t>
            </w:r>
          </w:p>
        </w:tc>
      </w:tr>
      <w:tr w:rsidR="00D869B6" w:rsidRPr="00D869B6" w14:paraId="1CB4555F" w14:textId="77777777">
        <w:tc>
          <w:tcPr>
            <w:tcW w:w="1800" w:type="dxa"/>
            <w:tcBorders>
              <w:top w:val="single" w:sz="6" w:space="0" w:color="CCCCCC"/>
              <w:left w:val="single" w:sz="6" w:space="0" w:color="CCCCCC"/>
              <w:bottom w:val="single" w:sz="6" w:space="0" w:color="CCCCCC"/>
              <w:right w:val="single" w:sz="6" w:space="0" w:color="CCCCCC"/>
            </w:tcBorders>
            <w:shd w:val="clear" w:color="auto" w:fill="F4F7F9"/>
            <w:tcMar>
              <w:top w:w="100" w:type="dxa"/>
              <w:left w:w="140" w:type="dxa"/>
              <w:bottom w:w="100" w:type="dxa"/>
              <w:right w:w="140" w:type="dxa"/>
            </w:tcMar>
            <w:hideMark/>
          </w:tcPr>
          <w:p w14:paraId="491D4B1D" w14:textId="77777777" w:rsidR="00D869B6" w:rsidRPr="00D869B6" w:rsidRDefault="00D869B6" w:rsidP="00D869B6">
            <w:pPr>
              <w:rPr>
                <w:lang w:bidi="th-TH"/>
              </w:rPr>
            </w:pPr>
            <w:r w:rsidRPr="00D869B6">
              <w:rPr>
                <w:b/>
                <w:bCs/>
                <w:lang w:bidi="th-TH"/>
              </w:rPr>
              <w:t>Backend</w:t>
            </w:r>
          </w:p>
        </w:tc>
        <w:tc>
          <w:tcPr>
            <w:tcW w:w="3780" w:type="dxa"/>
            <w:tcBorders>
              <w:top w:val="single" w:sz="6" w:space="0" w:color="CCCCCC"/>
              <w:left w:val="single" w:sz="6" w:space="0" w:color="CCCCCC"/>
              <w:bottom w:val="single" w:sz="6" w:space="0" w:color="CCCCCC"/>
              <w:right w:val="single" w:sz="6" w:space="0" w:color="CCCCCC"/>
            </w:tcBorders>
            <w:shd w:val="clear" w:color="auto" w:fill="F4F7F9"/>
            <w:tcMar>
              <w:top w:w="100" w:type="dxa"/>
              <w:left w:w="140" w:type="dxa"/>
              <w:bottom w:w="100" w:type="dxa"/>
              <w:right w:w="140" w:type="dxa"/>
            </w:tcMar>
            <w:hideMark/>
          </w:tcPr>
          <w:p w14:paraId="03D76397" w14:textId="77777777" w:rsidR="00D869B6" w:rsidRPr="00D869B6" w:rsidRDefault="00D869B6" w:rsidP="00D869B6">
            <w:pPr>
              <w:rPr>
                <w:lang w:bidi="th-TH"/>
              </w:rPr>
            </w:pPr>
            <w:r w:rsidRPr="00D869B6">
              <w:rPr>
                <w:lang w:bidi="th-TH"/>
              </w:rPr>
              <w:t xml:space="preserve">Python · </w:t>
            </w:r>
            <w:proofErr w:type="spellStart"/>
            <w:r w:rsidRPr="00D869B6">
              <w:rPr>
                <w:lang w:bidi="th-TH"/>
              </w:rPr>
              <w:t>FastAPI</w:t>
            </w:r>
            <w:proofErr w:type="spellEnd"/>
            <w:r w:rsidRPr="00D869B6">
              <w:rPr>
                <w:lang w:bidi="th-TH"/>
              </w:rPr>
              <w:t xml:space="preserve"> · </w:t>
            </w:r>
            <w:proofErr w:type="spellStart"/>
            <w:r w:rsidRPr="00D869B6">
              <w:rPr>
                <w:lang w:bidi="th-TH"/>
              </w:rPr>
              <w:t>uvicorn</w:t>
            </w:r>
            <w:proofErr w:type="spellEnd"/>
          </w:p>
        </w:tc>
        <w:tc>
          <w:tcPr>
            <w:tcW w:w="3780" w:type="dxa"/>
            <w:tcBorders>
              <w:top w:val="single" w:sz="6" w:space="0" w:color="CCCCCC"/>
              <w:left w:val="single" w:sz="6" w:space="0" w:color="CCCCCC"/>
              <w:bottom w:val="single" w:sz="6" w:space="0" w:color="CCCCCC"/>
              <w:right w:val="single" w:sz="6" w:space="0" w:color="CCCCCC"/>
            </w:tcBorders>
            <w:shd w:val="clear" w:color="auto" w:fill="F4F7F9"/>
            <w:tcMar>
              <w:top w:w="100" w:type="dxa"/>
              <w:left w:w="140" w:type="dxa"/>
              <w:bottom w:w="100" w:type="dxa"/>
              <w:right w:w="140" w:type="dxa"/>
            </w:tcMar>
            <w:hideMark/>
          </w:tcPr>
          <w:p w14:paraId="79145957" w14:textId="77777777" w:rsidR="00D869B6" w:rsidRPr="00D869B6" w:rsidRDefault="00D869B6" w:rsidP="00D869B6">
            <w:pPr>
              <w:rPr>
                <w:lang w:bidi="th-TH"/>
              </w:rPr>
            </w:pPr>
            <w:r w:rsidRPr="00D869B6">
              <w:rPr>
                <w:lang w:bidi="th-TH"/>
              </w:rPr>
              <w:t>Hosts the REST API. Serves six endpoints: portfolio insights, feature importance, single prediction, batch CSV scoring, form options, and model metadata.</w:t>
            </w:r>
          </w:p>
        </w:tc>
      </w:tr>
      <w:tr w:rsidR="00D869B6" w:rsidRPr="00D869B6" w14:paraId="0B3D4E68" w14:textId="77777777">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4D3BCD3E" w14:textId="77777777" w:rsidR="00D869B6" w:rsidRPr="00D869B6" w:rsidRDefault="00D869B6" w:rsidP="00D869B6">
            <w:pPr>
              <w:rPr>
                <w:lang w:bidi="th-TH"/>
              </w:rPr>
            </w:pPr>
            <w:r w:rsidRPr="00D869B6">
              <w:rPr>
                <w:b/>
                <w:bCs/>
                <w:lang w:bidi="th-TH"/>
              </w:rPr>
              <w:t>ML Engine</w:t>
            </w:r>
          </w:p>
        </w:tc>
        <w:tc>
          <w:tcPr>
            <w:tcW w:w="378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0A3D920D" w14:textId="77777777" w:rsidR="00D869B6" w:rsidRPr="00D869B6" w:rsidRDefault="00D869B6" w:rsidP="00D869B6">
            <w:pPr>
              <w:rPr>
                <w:lang w:bidi="th-TH"/>
              </w:rPr>
            </w:pPr>
            <w:r w:rsidRPr="00D869B6">
              <w:rPr>
                <w:lang w:bidi="th-TH"/>
              </w:rPr>
              <w:t xml:space="preserve">scikit-learn · </w:t>
            </w:r>
            <w:proofErr w:type="spellStart"/>
            <w:r w:rsidRPr="00D869B6">
              <w:rPr>
                <w:lang w:bidi="th-TH"/>
              </w:rPr>
              <w:t>XGBoost</w:t>
            </w:r>
            <w:proofErr w:type="spellEnd"/>
            <w:r w:rsidRPr="00D869B6">
              <w:rPr>
                <w:lang w:bidi="th-TH"/>
              </w:rPr>
              <w:t xml:space="preserve"> · </w:t>
            </w:r>
            <w:proofErr w:type="spellStart"/>
            <w:r w:rsidRPr="00D869B6">
              <w:rPr>
                <w:lang w:bidi="th-TH"/>
              </w:rPr>
              <w:t>joblib</w:t>
            </w:r>
            <w:proofErr w:type="spellEnd"/>
          </w:p>
        </w:tc>
        <w:tc>
          <w:tcPr>
            <w:tcW w:w="378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7718BDFB" w14:textId="77777777" w:rsidR="00D869B6" w:rsidRPr="00D869B6" w:rsidRDefault="00D869B6" w:rsidP="00D869B6">
            <w:pPr>
              <w:rPr>
                <w:lang w:bidi="th-TH"/>
              </w:rPr>
            </w:pPr>
            <w:r w:rsidRPr="00D869B6">
              <w:rPr>
                <w:lang w:bidi="th-TH"/>
              </w:rPr>
              <w:t xml:space="preserve">Loads the pre-trained </w:t>
            </w:r>
            <w:proofErr w:type="spellStart"/>
            <w:r w:rsidRPr="00D869B6">
              <w:rPr>
                <w:lang w:bidi="th-TH"/>
              </w:rPr>
              <w:t>RandomForestClassifier</w:t>
            </w:r>
            <w:proofErr w:type="spellEnd"/>
            <w:r w:rsidRPr="00D869B6">
              <w:rPr>
                <w:lang w:bidi="th-TH"/>
              </w:rPr>
              <w:t xml:space="preserve"> and SHAP </w:t>
            </w:r>
            <w:proofErr w:type="spellStart"/>
            <w:r w:rsidRPr="00D869B6">
              <w:rPr>
                <w:lang w:bidi="th-TH"/>
              </w:rPr>
              <w:t>TreeExplainer</w:t>
            </w:r>
            <w:proofErr w:type="spellEnd"/>
            <w:r w:rsidRPr="00D869B6">
              <w:rPr>
                <w:lang w:bidi="th-TH"/>
              </w:rPr>
              <w:t xml:space="preserve"> from disk. Scores borrowers and returns SHAP values per prediction.</w:t>
            </w:r>
          </w:p>
        </w:tc>
      </w:tr>
      <w:tr w:rsidR="00D869B6" w:rsidRPr="00D869B6" w14:paraId="065F3F7D" w14:textId="77777777">
        <w:tc>
          <w:tcPr>
            <w:tcW w:w="1800" w:type="dxa"/>
            <w:tcBorders>
              <w:top w:val="single" w:sz="6" w:space="0" w:color="CCCCCC"/>
              <w:left w:val="single" w:sz="6" w:space="0" w:color="CCCCCC"/>
              <w:bottom w:val="single" w:sz="6" w:space="0" w:color="CCCCCC"/>
              <w:right w:val="single" w:sz="6" w:space="0" w:color="CCCCCC"/>
            </w:tcBorders>
            <w:shd w:val="clear" w:color="auto" w:fill="F4F7F9"/>
            <w:tcMar>
              <w:top w:w="100" w:type="dxa"/>
              <w:left w:w="140" w:type="dxa"/>
              <w:bottom w:w="100" w:type="dxa"/>
              <w:right w:w="140" w:type="dxa"/>
            </w:tcMar>
            <w:hideMark/>
          </w:tcPr>
          <w:p w14:paraId="49F5A7F3" w14:textId="77777777" w:rsidR="00D869B6" w:rsidRPr="00D869B6" w:rsidRDefault="00D869B6" w:rsidP="00D869B6">
            <w:pPr>
              <w:rPr>
                <w:lang w:bidi="th-TH"/>
              </w:rPr>
            </w:pPr>
            <w:r w:rsidRPr="00D869B6">
              <w:rPr>
                <w:b/>
                <w:bCs/>
                <w:lang w:bidi="th-TH"/>
              </w:rPr>
              <w:t>Explainability</w:t>
            </w:r>
          </w:p>
        </w:tc>
        <w:tc>
          <w:tcPr>
            <w:tcW w:w="3780" w:type="dxa"/>
            <w:tcBorders>
              <w:top w:val="single" w:sz="6" w:space="0" w:color="CCCCCC"/>
              <w:left w:val="single" w:sz="6" w:space="0" w:color="CCCCCC"/>
              <w:bottom w:val="single" w:sz="6" w:space="0" w:color="CCCCCC"/>
              <w:right w:val="single" w:sz="6" w:space="0" w:color="CCCCCC"/>
            </w:tcBorders>
            <w:shd w:val="clear" w:color="auto" w:fill="F4F7F9"/>
            <w:tcMar>
              <w:top w:w="100" w:type="dxa"/>
              <w:left w:w="140" w:type="dxa"/>
              <w:bottom w:w="100" w:type="dxa"/>
              <w:right w:w="140" w:type="dxa"/>
            </w:tcMar>
            <w:hideMark/>
          </w:tcPr>
          <w:p w14:paraId="7038E9A5" w14:textId="77777777" w:rsidR="00D869B6" w:rsidRPr="00D869B6" w:rsidRDefault="00D869B6" w:rsidP="00D869B6">
            <w:pPr>
              <w:rPr>
                <w:lang w:bidi="th-TH"/>
              </w:rPr>
            </w:pPr>
            <w:r w:rsidRPr="00D869B6">
              <w:rPr>
                <w:lang w:bidi="th-TH"/>
              </w:rPr>
              <w:t>SHAP (</w:t>
            </w:r>
            <w:proofErr w:type="spellStart"/>
            <w:r w:rsidRPr="00D869B6">
              <w:rPr>
                <w:lang w:bidi="th-TH"/>
              </w:rPr>
              <w:t>TreeExplainer</w:t>
            </w:r>
            <w:proofErr w:type="spellEnd"/>
            <w:r w:rsidRPr="00D869B6">
              <w:rPr>
                <w:lang w:bidi="th-TH"/>
              </w:rPr>
              <w:t>)</w:t>
            </w:r>
          </w:p>
        </w:tc>
        <w:tc>
          <w:tcPr>
            <w:tcW w:w="3780" w:type="dxa"/>
            <w:tcBorders>
              <w:top w:val="single" w:sz="6" w:space="0" w:color="CCCCCC"/>
              <w:left w:val="single" w:sz="6" w:space="0" w:color="CCCCCC"/>
              <w:bottom w:val="single" w:sz="6" w:space="0" w:color="CCCCCC"/>
              <w:right w:val="single" w:sz="6" w:space="0" w:color="CCCCCC"/>
            </w:tcBorders>
            <w:shd w:val="clear" w:color="auto" w:fill="F4F7F9"/>
            <w:tcMar>
              <w:top w:w="100" w:type="dxa"/>
              <w:left w:w="140" w:type="dxa"/>
              <w:bottom w:w="100" w:type="dxa"/>
              <w:right w:w="140" w:type="dxa"/>
            </w:tcMar>
            <w:hideMark/>
          </w:tcPr>
          <w:p w14:paraId="52684D03" w14:textId="77777777" w:rsidR="00D869B6" w:rsidRPr="00D869B6" w:rsidRDefault="00D869B6" w:rsidP="00D869B6">
            <w:pPr>
              <w:rPr>
                <w:lang w:bidi="th-TH"/>
              </w:rPr>
            </w:pPr>
            <w:proofErr w:type="gramStart"/>
            <w:r w:rsidRPr="00D869B6">
              <w:rPr>
                <w:lang w:bidi="th-TH"/>
              </w:rPr>
              <w:t>Computes</w:t>
            </w:r>
            <w:proofErr w:type="gramEnd"/>
            <w:r w:rsidRPr="00D869B6">
              <w:rPr>
                <w:lang w:bidi="th-TH"/>
              </w:rPr>
              <w:t xml:space="preserve"> global mean |SHAP| values and local per-borrower SHAP waterfall data for every scoring request.</w:t>
            </w:r>
          </w:p>
        </w:tc>
      </w:tr>
      <w:tr w:rsidR="00D869B6" w:rsidRPr="00D869B6" w14:paraId="73F6CE6A" w14:textId="77777777">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0F135842" w14:textId="77777777" w:rsidR="00D869B6" w:rsidRPr="00D869B6" w:rsidRDefault="00D869B6" w:rsidP="00D869B6">
            <w:pPr>
              <w:rPr>
                <w:lang w:bidi="th-TH"/>
              </w:rPr>
            </w:pPr>
            <w:r w:rsidRPr="00D869B6">
              <w:rPr>
                <w:b/>
                <w:bCs/>
                <w:lang w:bidi="th-TH"/>
              </w:rPr>
              <w:t>Frontend</w:t>
            </w:r>
          </w:p>
        </w:tc>
        <w:tc>
          <w:tcPr>
            <w:tcW w:w="378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742D9824" w14:textId="77777777" w:rsidR="00D869B6" w:rsidRPr="00D869B6" w:rsidRDefault="00D869B6" w:rsidP="00D869B6">
            <w:pPr>
              <w:rPr>
                <w:lang w:bidi="th-TH"/>
              </w:rPr>
            </w:pPr>
            <w:r w:rsidRPr="00D869B6">
              <w:rPr>
                <w:lang w:bidi="th-TH"/>
              </w:rPr>
              <w:t>React 18 · Vite · Recharts · Axios</w:t>
            </w:r>
          </w:p>
        </w:tc>
        <w:tc>
          <w:tcPr>
            <w:tcW w:w="378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143297D0" w14:textId="77777777" w:rsidR="00D869B6" w:rsidRPr="00D869B6" w:rsidRDefault="00D869B6" w:rsidP="00D869B6">
            <w:pPr>
              <w:rPr>
                <w:lang w:bidi="th-TH"/>
              </w:rPr>
            </w:pPr>
            <w:r w:rsidRPr="00D869B6">
              <w:rPr>
                <w:lang w:bidi="th-TH"/>
              </w:rPr>
              <w:t>Four-page SPA: Dashboard, Single Predict, Batch Score, and SHAP Explorer. Connects to backend via proxied API calls.</w:t>
            </w:r>
          </w:p>
        </w:tc>
      </w:tr>
      <w:tr w:rsidR="00D869B6" w:rsidRPr="00D869B6" w14:paraId="2F4DDF03" w14:textId="77777777">
        <w:tc>
          <w:tcPr>
            <w:tcW w:w="1800" w:type="dxa"/>
            <w:tcBorders>
              <w:top w:val="single" w:sz="6" w:space="0" w:color="CCCCCC"/>
              <w:left w:val="single" w:sz="6" w:space="0" w:color="CCCCCC"/>
              <w:bottom w:val="single" w:sz="6" w:space="0" w:color="CCCCCC"/>
              <w:right w:val="single" w:sz="6" w:space="0" w:color="CCCCCC"/>
            </w:tcBorders>
            <w:shd w:val="clear" w:color="auto" w:fill="F4F7F9"/>
            <w:tcMar>
              <w:top w:w="100" w:type="dxa"/>
              <w:left w:w="140" w:type="dxa"/>
              <w:bottom w:w="100" w:type="dxa"/>
              <w:right w:w="140" w:type="dxa"/>
            </w:tcMar>
            <w:hideMark/>
          </w:tcPr>
          <w:p w14:paraId="5E59C020" w14:textId="77777777" w:rsidR="00D869B6" w:rsidRPr="00D869B6" w:rsidRDefault="00D869B6" w:rsidP="00D869B6">
            <w:pPr>
              <w:rPr>
                <w:lang w:bidi="th-TH"/>
              </w:rPr>
            </w:pPr>
            <w:r w:rsidRPr="00D869B6">
              <w:rPr>
                <w:b/>
                <w:bCs/>
                <w:lang w:bidi="th-TH"/>
              </w:rPr>
              <w:t>Charts</w:t>
            </w:r>
          </w:p>
        </w:tc>
        <w:tc>
          <w:tcPr>
            <w:tcW w:w="3780" w:type="dxa"/>
            <w:tcBorders>
              <w:top w:val="single" w:sz="6" w:space="0" w:color="CCCCCC"/>
              <w:left w:val="single" w:sz="6" w:space="0" w:color="CCCCCC"/>
              <w:bottom w:val="single" w:sz="6" w:space="0" w:color="CCCCCC"/>
              <w:right w:val="single" w:sz="6" w:space="0" w:color="CCCCCC"/>
            </w:tcBorders>
            <w:shd w:val="clear" w:color="auto" w:fill="F4F7F9"/>
            <w:tcMar>
              <w:top w:w="100" w:type="dxa"/>
              <w:left w:w="140" w:type="dxa"/>
              <w:bottom w:w="100" w:type="dxa"/>
              <w:right w:w="140" w:type="dxa"/>
            </w:tcMar>
            <w:hideMark/>
          </w:tcPr>
          <w:p w14:paraId="342C8323" w14:textId="77777777" w:rsidR="00D869B6" w:rsidRPr="00D869B6" w:rsidRDefault="00D869B6" w:rsidP="00D869B6">
            <w:pPr>
              <w:rPr>
                <w:lang w:bidi="th-TH"/>
              </w:rPr>
            </w:pPr>
            <w:r w:rsidRPr="00D869B6">
              <w:rPr>
                <w:lang w:bidi="th-TH"/>
              </w:rPr>
              <w:t>Recharts</w:t>
            </w:r>
          </w:p>
        </w:tc>
        <w:tc>
          <w:tcPr>
            <w:tcW w:w="3780" w:type="dxa"/>
            <w:tcBorders>
              <w:top w:val="single" w:sz="6" w:space="0" w:color="CCCCCC"/>
              <w:left w:val="single" w:sz="6" w:space="0" w:color="CCCCCC"/>
              <w:bottom w:val="single" w:sz="6" w:space="0" w:color="CCCCCC"/>
              <w:right w:val="single" w:sz="6" w:space="0" w:color="CCCCCC"/>
            </w:tcBorders>
            <w:shd w:val="clear" w:color="auto" w:fill="F4F7F9"/>
            <w:tcMar>
              <w:top w:w="100" w:type="dxa"/>
              <w:left w:w="140" w:type="dxa"/>
              <w:bottom w:w="100" w:type="dxa"/>
              <w:right w:w="140" w:type="dxa"/>
            </w:tcMar>
            <w:hideMark/>
          </w:tcPr>
          <w:p w14:paraId="2AAFA4B1" w14:textId="77777777" w:rsidR="00D869B6" w:rsidRPr="00D869B6" w:rsidRDefault="00D869B6" w:rsidP="00D869B6">
            <w:pPr>
              <w:rPr>
                <w:lang w:bidi="th-TH"/>
              </w:rPr>
            </w:pPr>
            <w:r w:rsidRPr="00D869B6">
              <w:rPr>
                <w:lang w:bidi="th-TH"/>
              </w:rPr>
              <w:t xml:space="preserve">Renders bar charts, pie charts, waterfall plots, and radar charts </w:t>
            </w:r>
            <w:r w:rsidRPr="00D869B6">
              <w:rPr>
                <w:lang w:bidi="th-TH"/>
              </w:rPr>
              <w:lastRenderedPageBreak/>
              <w:t xml:space="preserve">for dataset insights and SHAP </w:t>
            </w:r>
            <w:proofErr w:type="spellStart"/>
            <w:r w:rsidRPr="00D869B6">
              <w:rPr>
                <w:lang w:bidi="th-TH"/>
              </w:rPr>
              <w:t>visualisation</w:t>
            </w:r>
            <w:proofErr w:type="spellEnd"/>
            <w:r w:rsidRPr="00D869B6">
              <w:rPr>
                <w:lang w:bidi="th-TH"/>
              </w:rPr>
              <w:t>.</w:t>
            </w:r>
          </w:p>
        </w:tc>
      </w:tr>
    </w:tbl>
    <w:p w14:paraId="59713F38" w14:textId="77777777" w:rsidR="00D869B6" w:rsidRPr="00D869B6" w:rsidRDefault="00D869B6" w:rsidP="00D869B6">
      <w:pPr>
        <w:rPr>
          <w:lang w:bidi="th-TH"/>
        </w:rPr>
      </w:pPr>
    </w:p>
    <w:p w14:paraId="0B0F2B54" w14:textId="77777777" w:rsidR="00D869B6" w:rsidRDefault="00D869B6" w:rsidP="00447E9E">
      <w:pPr>
        <w:rPr>
          <w:lang w:bidi="th-TH"/>
        </w:rPr>
      </w:pPr>
    </w:p>
    <w:p w14:paraId="7CF22E50" w14:textId="77777777" w:rsidR="00D869B6" w:rsidRPr="00D869B6" w:rsidRDefault="00D869B6" w:rsidP="00D869B6">
      <w:pPr>
        <w:rPr>
          <w:lang w:bidi="th-TH"/>
        </w:rPr>
      </w:pPr>
      <w:r w:rsidRPr="00D869B6">
        <w:rPr>
          <w:lang w:bidi="th-TH"/>
        </w:rPr>
        <w:t>The web application delivers four functional pages. The Dashboard presents portfolio-level insights drawn directly from the 2019 dataset, including KPI cards, credit score distributions, industry breakdowns, state-level volumes, loan amount bands, and deal outcome composition. The Single Predict page allows a user to enter a borrower's financial and operational details through a structured form and receive an immediate EMERALD-AI credit score, risk band, and a SHAP waterfall chart that visually explains which features drove the specific prediction. The Batch Score page enables users to upload a CSV file of multiple borrowers and receive a fully scored table — downloadable as a CSV — including probability scores, risk bands, and the single most influential feature per borrower. The SHAP Explorer provides a global view of feature importance through interactive bar and radar charts, with detailed written descriptions of each feature's role in the model, designed to be accessible to non-technical lending practitioners.</w:t>
      </w:r>
    </w:p>
    <w:p w14:paraId="71E7A493" w14:textId="77777777" w:rsidR="00D869B6" w:rsidRPr="00D869B6" w:rsidRDefault="00D869B6" w:rsidP="00D869B6">
      <w:pPr>
        <w:rPr>
          <w:lang w:bidi="th-TH"/>
        </w:rPr>
      </w:pPr>
    </w:p>
    <w:p w14:paraId="5EA1A2CC" w14:textId="77777777" w:rsidR="00D869B6" w:rsidRPr="00D869B6" w:rsidRDefault="00D869B6" w:rsidP="00D869B6">
      <w:pPr>
        <w:rPr>
          <w:b/>
          <w:bCs/>
          <w:lang w:bidi="th-TH"/>
        </w:rPr>
      </w:pPr>
      <w:r w:rsidRPr="00D869B6">
        <w:rPr>
          <w:b/>
          <w:bCs/>
          <w:lang w:bidi="th-TH"/>
        </w:rPr>
        <w:t>6.5 Analytical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869B6" w:rsidRPr="00D869B6" w14:paraId="208BDB23" w14:textId="77777777">
        <w:tc>
          <w:tcPr>
            <w:tcW w:w="2800" w:type="dxa"/>
            <w:tcBorders>
              <w:top w:val="single" w:sz="6" w:space="0" w:color="CCCCCC"/>
              <w:left w:val="single" w:sz="6" w:space="0" w:color="CCCCCC"/>
              <w:bottom w:val="single" w:sz="6" w:space="0" w:color="CCCCCC"/>
              <w:right w:val="single" w:sz="6" w:space="0" w:color="CCCCCC"/>
            </w:tcBorders>
            <w:shd w:val="clear" w:color="auto" w:fill="1A3A5C"/>
            <w:tcMar>
              <w:top w:w="100" w:type="dxa"/>
              <w:left w:w="140" w:type="dxa"/>
              <w:bottom w:w="100" w:type="dxa"/>
              <w:right w:w="140" w:type="dxa"/>
            </w:tcMar>
            <w:hideMark/>
          </w:tcPr>
          <w:p w14:paraId="79EF4EA3" w14:textId="77777777" w:rsidR="00D869B6" w:rsidRPr="00D869B6" w:rsidRDefault="00D869B6" w:rsidP="00D869B6">
            <w:pPr>
              <w:rPr>
                <w:lang w:bidi="th-TH"/>
              </w:rPr>
            </w:pPr>
            <w:r w:rsidRPr="00D869B6">
              <w:rPr>
                <w:b/>
                <w:bCs/>
                <w:lang w:bidi="th-TH"/>
              </w:rPr>
              <w:t>Tool / Library</w:t>
            </w:r>
          </w:p>
        </w:tc>
        <w:tc>
          <w:tcPr>
            <w:tcW w:w="6560" w:type="dxa"/>
            <w:tcBorders>
              <w:top w:val="single" w:sz="6" w:space="0" w:color="CCCCCC"/>
              <w:left w:val="single" w:sz="6" w:space="0" w:color="CCCCCC"/>
              <w:bottom w:val="single" w:sz="6" w:space="0" w:color="CCCCCC"/>
              <w:right w:val="single" w:sz="6" w:space="0" w:color="CCCCCC"/>
            </w:tcBorders>
            <w:shd w:val="clear" w:color="auto" w:fill="1A3A5C"/>
            <w:tcMar>
              <w:top w:w="100" w:type="dxa"/>
              <w:left w:w="140" w:type="dxa"/>
              <w:bottom w:w="100" w:type="dxa"/>
              <w:right w:w="140" w:type="dxa"/>
            </w:tcMar>
            <w:hideMark/>
          </w:tcPr>
          <w:p w14:paraId="6CA8BDF2" w14:textId="77777777" w:rsidR="00D869B6" w:rsidRPr="00D869B6" w:rsidRDefault="00D869B6" w:rsidP="00D869B6">
            <w:pPr>
              <w:rPr>
                <w:lang w:bidi="th-TH"/>
              </w:rPr>
            </w:pPr>
            <w:r w:rsidRPr="00D869B6">
              <w:rPr>
                <w:b/>
                <w:bCs/>
                <w:lang w:bidi="th-TH"/>
              </w:rPr>
              <w:t>Purpose in EMERALD-AI</w:t>
            </w:r>
          </w:p>
        </w:tc>
      </w:tr>
      <w:tr w:rsidR="00D869B6" w:rsidRPr="00D869B6" w14:paraId="789D8669" w14:textId="77777777">
        <w:tc>
          <w:tcPr>
            <w:tcW w:w="2800" w:type="dxa"/>
            <w:tcBorders>
              <w:top w:val="single" w:sz="6" w:space="0" w:color="CCCCCC"/>
              <w:left w:val="single" w:sz="6" w:space="0" w:color="CCCCCC"/>
              <w:bottom w:val="single" w:sz="6" w:space="0" w:color="CCCCCC"/>
              <w:right w:val="single" w:sz="6" w:space="0" w:color="CCCCCC"/>
            </w:tcBorders>
            <w:shd w:val="clear" w:color="auto" w:fill="F4F7F9"/>
            <w:tcMar>
              <w:top w:w="100" w:type="dxa"/>
              <w:left w:w="140" w:type="dxa"/>
              <w:bottom w:w="100" w:type="dxa"/>
              <w:right w:w="140" w:type="dxa"/>
            </w:tcMar>
            <w:hideMark/>
          </w:tcPr>
          <w:p w14:paraId="306288AF" w14:textId="28C19D8E" w:rsidR="00D869B6" w:rsidRPr="00D869B6" w:rsidRDefault="00D869B6" w:rsidP="00D869B6">
            <w:pPr>
              <w:rPr>
                <w:lang w:bidi="th-TH"/>
              </w:rPr>
            </w:pPr>
            <w:r w:rsidRPr="00D869B6">
              <w:rPr>
                <w:b/>
                <w:bCs/>
                <w:lang w:bidi="th-TH"/>
              </w:rPr>
              <w:t>Python</w:t>
            </w:r>
          </w:p>
        </w:tc>
        <w:tc>
          <w:tcPr>
            <w:tcW w:w="6560" w:type="dxa"/>
            <w:tcBorders>
              <w:top w:val="single" w:sz="6" w:space="0" w:color="CCCCCC"/>
              <w:left w:val="single" w:sz="6" w:space="0" w:color="CCCCCC"/>
              <w:bottom w:val="single" w:sz="6" w:space="0" w:color="CCCCCC"/>
              <w:right w:val="single" w:sz="6" w:space="0" w:color="CCCCCC"/>
            </w:tcBorders>
            <w:shd w:val="clear" w:color="auto" w:fill="F4F7F9"/>
            <w:tcMar>
              <w:top w:w="100" w:type="dxa"/>
              <w:left w:w="140" w:type="dxa"/>
              <w:bottom w:w="100" w:type="dxa"/>
              <w:right w:w="140" w:type="dxa"/>
            </w:tcMar>
            <w:hideMark/>
          </w:tcPr>
          <w:p w14:paraId="4F22798A" w14:textId="77777777" w:rsidR="00D869B6" w:rsidRPr="00D869B6" w:rsidRDefault="00D869B6" w:rsidP="00D869B6">
            <w:pPr>
              <w:rPr>
                <w:lang w:bidi="th-TH"/>
              </w:rPr>
            </w:pPr>
            <w:r w:rsidRPr="00D869B6">
              <w:rPr>
                <w:lang w:bidi="th-TH"/>
              </w:rPr>
              <w:t>Core language for all data processing, modelling, and backend development.</w:t>
            </w:r>
          </w:p>
        </w:tc>
      </w:tr>
      <w:tr w:rsidR="00D869B6" w:rsidRPr="00D869B6" w14:paraId="07ADAE04" w14:textId="77777777">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4E3A5DD5" w14:textId="77777777" w:rsidR="00D869B6" w:rsidRPr="00D869B6" w:rsidRDefault="00D869B6" w:rsidP="00D869B6">
            <w:pPr>
              <w:rPr>
                <w:lang w:bidi="th-TH"/>
              </w:rPr>
            </w:pPr>
            <w:r w:rsidRPr="00D869B6">
              <w:rPr>
                <w:b/>
                <w:bCs/>
                <w:lang w:bidi="th-TH"/>
              </w:rPr>
              <w:t>Pandas / NumPy</w:t>
            </w:r>
          </w:p>
        </w:tc>
        <w:tc>
          <w:tcPr>
            <w:tcW w:w="65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302E9F9A" w14:textId="77777777" w:rsidR="00D869B6" w:rsidRPr="00D869B6" w:rsidRDefault="00D869B6" w:rsidP="00D869B6">
            <w:pPr>
              <w:rPr>
                <w:lang w:bidi="th-TH"/>
              </w:rPr>
            </w:pPr>
            <w:r w:rsidRPr="00D869B6">
              <w:rPr>
                <w:lang w:bidi="th-TH"/>
              </w:rPr>
              <w:t>Data ingestion, cleaning, transformation, and descriptive statistical analysis.</w:t>
            </w:r>
          </w:p>
        </w:tc>
      </w:tr>
      <w:tr w:rsidR="00D869B6" w:rsidRPr="00D869B6" w14:paraId="56522006" w14:textId="77777777">
        <w:tc>
          <w:tcPr>
            <w:tcW w:w="2800" w:type="dxa"/>
            <w:tcBorders>
              <w:top w:val="single" w:sz="6" w:space="0" w:color="CCCCCC"/>
              <w:left w:val="single" w:sz="6" w:space="0" w:color="CCCCCC"/>
              <w:bottom w:val="single" w:sz="6" w:space="0" w:color="CCCCCC"/>
              <w:right w:val="single" w:sz="6" w:space="0" w:color="CCCCCC"/>
            </w:tcBorders>
            <w:shd w:val="clear" w:color="auto" w:fill="F4F7F9"/>
            <w:tcMar>
              <w:top w:w="100" w:type="dxa"/>
              <w:left w:w="140" w:type="dxa"/>
              <w:bottom w:w="100" w:type="dxa"/>
              <w:right w:w="140" w:type="dxa"/>
            </w:tcMar>
            <w:hideMark/>
          </w:tcPr>
          <w:p w14:paraId="2CF9857A" w14:textId="77777777" w:rsidR="00D869B6" w:rsidRPr="00D869B6" w:rsidRDefault="00D869B6" w:rsidP="00D869B6">
            <w:pPr>
              <w:rPr>
                <w:lang w:bidi="th-TH"/>
              </w:rPr>
            </w:pPr>
            <w:r w:rsidRPr="00D869B6">
              <w:rPr>
                <w:b/>
                <w:bCs/>
                <w:lang w:bidi="th-TH"/>
              </w:rPr>
              <w:t>Scikit-learn</w:t>
            </w:r>
          </w:p>
        </w:tc>
        <w:tc>
          <w:tcPr>
            <w:tcW w:w="6560" w:type="dxa"/>
            <w:tcBorders>
              <w:top w:val="single" w:sz="6" w:space="0" w:color="CCCCCC"/>
              <w:left w:val="single" w:sz="6" w:space="0" w:color="CCCCCC"/>
              <w:bottom w:val="single" w:sz="6" w:space="0" w:color="CCCCCC"/>
              <w:right w:val="single" w:sz="6" w:space="0" w:color="CCCCCC"/>
            </w:tcBorders>
            <w:shd w:val="clear" w:color="auto" w:fill="F4F7F9"/>
            <w:tcMar>
              <w:top w:w="100" w:type="dxa"/>
              <w:left w:w="140" w:type="dxa"/>
              <w:bottom w:w="100" w:type="dxa"/>
              <w:right w:w="140" w:type="dxa"/>
            </w:tcMar>
            <w:hideMark/>
          </w:tcPr>
          <w:p w14:paraId="7B8271BB" w14:textId="77777777" w:rsidR="00D869B6" w:rsidRPr="00D869B6" w:rsidRDefault="00D869B6" w:rsidP="00D869B6">
            <w:pPr>
              <w:rPr>
                <w:lang w:bidi="th-TH"/>
              </w:rPr>
            </w:pPr>
            <w:r w:rsidRPr="00D869B6">
              <w:rPr>
                <w:lang w:bidi="th-TH"/>
              </w:rPr>
              <w:t>Logistic Regression, Random Forest, cross-validation, SMOTE, and evaluation metrics.</w:t>
            </w:r>
          </w:p>
        </w:tc>
      </w:tr>
      <w:tr w:rsidR="00D869B6" w:rsidRPr="00D869B6" w14:paraId="3420400D" w14:textId="77777777">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27A36138" w14:textId="77777777" w:rsidR="00D869B6" w:rsidRPr="00D869B6" w:rsidRDefault="00D869B6" w:rsidP="00D869B6">
            <w:pPr>
              <w:rPr>
                <w:lang w:bidi="th-TH"/>
              </w:rPr>
            </w:pPr>
            <w:proofErr w:type="spellStart"/>
            <w:r w:rsidRPr="00D869B6">
              <w:rPr>
                <w:b/>
                <w:bCs/>
                <w:lang w:bidi="th-TH"/>
              </w:rPr>
              <w:t>XGBoost</w:t>
            </w:r>
            <w:proofErr w:type="spellEnd"/>
          </w:p>
        </w:tc>
        <w:tc>
          <w:tcPr>
            <w:tcW w:w="65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41D56F6B" w14:textId="77777777" w:rsidR="00D869B6" w:rsidRPr="00D869B6" w:rsidRDefault="00D869B6" w:rsidP="00D869B6">
            <w:pPr>
              <w:rPr>
                <w:lang w:bidi="th-TH"/>
              </w:rPr>
            </w:pPr>
            <w:r w:rsidRPr="00D869B6">
              <w:rPr>
                <w:lang w:bidi="th-TH"/>
              </w:rPr>
              <w:t>High-performance gradient boosting model; state-of-the-art for tabular credit data.</w:t>
            </w:r>
          </w:p>
        </w:tc>
      </w:tr>
      <w:tr w:rsidR="00D869B6" w:rsidRPr="00D869B6" w14:paraId="18E9B424" w14:textId="77777777">
        <w:tc>
          <w:tcPr>
            <w:tcW w:w="2800" w:type="dxa"/>
            <w:tcBorders>
              <w:top w:val="single" w:sz="6" w:space="0" w:color="CCCCCC"/>
              <w:left w:val="single" w:sz="6" w:space="0" w:color="CCCCCC"/>
              <w:bottom w:val="single" w:sz="6" w:space="0" w:color="CCCCCC"/>
              <w:right w:val="single" w:sz="6" w:space="0" w:color="CCCCCC"/>
            </w:tcBorders>
            <w:shd w:val="clear" w:color="auto" w:fill="F4F7F9"/>
            <w:tcMar>
              <w:top w:w="100" w:type="dxa"/>
              <w:left w:w="140" w:type="dxa"/>
              <w:bottom w:w="100" w:type="dxa"/>
              <w:right w:w="140" w:type="dxa"/>
            </w:tcMar>
            <w:hideMark/>
          </w:tcPr>
          <w:p w14:paraId="544606F1" w14:textId="77777777" w:rsidR="00D869B6" w:rsidRPr="00D869B6" w:rsidRDefault="00D869B6" w:rsidP="00D869B6">
            <w:pPr>
              <w:rPr>
                <w:lang w:bidi="th-TH"/>
              </w:rPr>
            </w:pPr>
            <w:r w:rsidRPr="00D869B6">
              <w:rPr>
                <w:b/>
                <w:bCs/>
                <w:lang w:bidi="th-TH"/>
              </w:rPr>
              <w:lastRenderedPageBreak/>
              <w:t xml:space="preserve">TensorFlow / </w:t>
            </w:r>
            <w:proofErr w:type="spellStart"/>
            <w:r w:rsidRPr="00D869B6">
              <w:rPr>
                <w:b/>
                <w:bCs/>
                <w:lang w:bidi="th-TH"/>
              </w:rPr>
              <w:t>Keras</w:t>
            </w:r>
            <w:proofErr w:type="spellEnd"/>
          </w:p>
        </w:tc>
        <w:tc>
          <w:tcPr>
            <w:tcW w:w="6560" w:type="dxa"/>
            <w:tcBorders>
              <w:top w:val="single" w:sz="6" w:space="0" w:color="CCCCCC"/>
              <w:left w:val="single" w:sz="6" w:space="0" w:color="CCCCCC"/>
              <w:bottom w:val="single" w:sz="6" w:space="0" w:color="CCCCCC"/>
              <w:right w:val="single" w:sz="6" w:space="0" w:color="CCCCCC"/>
            </w:tcBorders>
            <w:shd w:val="clear" w:color="auto" w:fill="F4F7F9"/>
            <w:tcMar>
              <w:top w:w="100" w:type="dxa"/>
              <w:left w:w="140" w:type="dxa"/>
              <w:bottom w:w="100" w:type="dxa"/>
              <w:right w:w="140" w:type="dxa"/>
            </w:tcMar>
            <w:hideMark/>
          </w:tcPr>
          <w:p w14:paraId="1D852BB0" w14:textId="77777777" w:rsidR="00D869B6" w:rsidRPr="00D869B6" w:rsidRDefault="00D869B6" w:rsidP="00D869B6">
            <w:pPr>
              <w:rPr>
                <w:lang w:bidi="th-TH"/>
              </w:rPr>
            </w:pPr>
            <w:r w:rsidRPr="00D869B6">
              <w:rPr>
                <w:lang w:bidi="th-TH"/>
              </w:rPr>
              <w:t>Multi-Layer Perceptron neural network construction and training.</w:t>
            </w:r>
          </w:p>
        </w:tc>
      </w:tr>
      <w:tr w:rsidR="00D869B6" w:rsidRPr="00D869B6" w14:paraId="3759BC56" w14:textId="77777777">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58B07B34" w14:textId="77777777" w:rsidR="00D869B6" w:rsidRPr="00D869B6" w:rsidRDefault="00D869B6" w:rsidP="00D869B6">
            <w:pPr>
              <w:rPr>
                <w:lang w:bidi="th-TH"/>
              </w:rPr>
            </w:pPr>
            <w:r w:rsidRPr="00D869B6">
              <w:rPr>
                <w:b/>
                <w:bCs/>
                <w:lang w:bidi="th-TH"/>
              </w:rPr>
              <w:t>SHAP</w:t>
            </w:r>
          </w:p>
        </w:tc>
        <w:tc>
          <w:tcPr>
            <w:tcW w:w="65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05736797" w14:textId="77777777" w:rsidR="00D869B6" w:rsidRPr="00D869B6" w:rsidRDefault="00D869B6" w:rsidP="00D869B6">
            <w:pPr>
              <w:rPr>
                <w:lang w:bidi="th-TH"/>
              </w:rPr>
            </w:pPr>
            <w:proofErr w:type="spellStart"/>
            <w:r w:rsidRPr="00D869B6">
              <w:rPr>
                <w:lang w:bidi="th-TH"/>
              </w:rPr>
              <w:t>TreeSHAP</w:t>
            </w:r>
            <w:proofErr w:type="spellEnd"/>
            <w:r w:rsidRPr="00D869B6">
              <w:rPr>
                <w:lang w:bidi="th-TH"/>
              </w:rPr>
              <w:t xml:space="preserve"> for global feature importance and local per-prediction explanations.</w:t>
            </w:r>
          </w:p>
        </w:tc>
      </w:tr>
      <w:tr w:rsidR="00D869B6" w:rsidRPr="00D869B6" w14:paraId="338AD827" w14:textId="77777777">
        <w:tc>
          <w:tcPr>
            <w:tcW w:w="2800" w:type="dxa"/>
            <w:tcBorders>
              <w:top w:val="single" w:sz="6" w:space="0" w:color="CCCCCC"/>
              <w:left w:val="single" w:sz="6" w:space="0" w:color="CCCCCC"/>
              <w:bottom w:val="single" w:sz="6" w:space="0" w:color="CCCCCC"/>
              <w:right w:val="single" w:sz="6" w:space="0" w:color="CCCCCC"/>
            </w:tcBorders>
            <w:shd w:val="clear" w:color="auto" w:fill="F4F7F9"/>
            <w:tcMar>
              <w:top w:w="100" w:type="dxa"/>
              <w:left w:w="140" w:type="dxa"/>
              <w:bottom w:w="100" w:type="dxa"/>
              <w:right w:w="140" w:type="dxa"/>
            </w:tcMar>
            <w:hideMark/>
          </w:tcPr>
          <w:p w14:paraId="089AF6BA" w14:textId="7F61F4FB" w:rsidR="00D869B6" w:rsidRPr="00C56B56" w:rsidRDefault="00C56B56" w:rsidP="00D869B6">
            <w:pPr>
              <w:rPr>
                <w:b/>
                <w:bCs/>
                <w:lang w:bidi="th-TH"/>
              </w:rPr>
            </w:pPr>
            <w:r w:rsidRPr="00C56B56">
              <w:rPr>
                <w:b/>
                <w:bCs/>
                <w:lang w:bidi="th-TH"/>
              </w:rPr>
              <w:t>API</w:t>
            </w:r>
          </w:p>
        </w:tc>
        <w:tc>
          <w:tcPr>
            <w:tcW w:w="6560" w:type="dxa"/>
            <w:tcBorders>
              <w:top w:val="single" w:sz="6" w:space="0" w:color="CCCCCC"/>
              <w:left w:val="single" w:sz="6" w:space="0" w:color="CCCCCC"/>
              <w:bottom w:val="single" w:sz="6" w:space="0" w:color="CCCCCC"/>
              <w:right w:val="single" w:sz="6" w:space="0" w:color="CCCCCC"/>
            </w:tcBorders>
            <w:shd w:val="clear" w:color="auto" w:fill="F4F7F9"/>
            <w:tcMar>
              <w:top w:w="100" w:type="dxa"/>
              <w:left w:w="140" w:type="dxa"/>
              <w:bottom w:w="100" w:type="dxa"/>
              <w:right w:w="140" w:type="dxa"/>
            </w:tcMar>
            <w:hideMark/>
          </w:tcPr>
          <w:p w14:paraId="3BF7FBFC" w14:textId="77777777" w:rsidR="00D869B6" w:rsidRPr="00D869B6" w:rsidRDefault="00D869B6" w:rsidP="00D869B6">
            <w:pPr>
              <w:rPr>
                <w:lang w:bidi="th-TH"/>
              </w:rPr>
            </w:pPr>
            <w:r w:rsidRPr="00D869B6">
              <w:rPr>
                <w:lang w:bidi="th-TH"/>
              </w:rPr>
              <w:t>RESTful API backend exposing six endpoints to the React frontend.</w:t>
            </w:r>
          </w:p>
        </w:tc>
      </w:tr>
      <w:tr w:rsidR="00D869B6" w:rsidRPr="00D869B6" w14:paraId="66F6C184" w14:textId="77777777">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70930F54" w14:textId="77777777" w:rsidR="00D869B6" w:rsidRPr="00D869B6" w:rsidRDefault="00D869B6" w:rsidP="00D869B6">
            <w:pPr>
              <w:rPr>
                <w:lang w:bidi="th-TH"/>
              </w:rPr>
            </w:pPr>
            <w:r w:rsidRPr="00D869B6">
              <w:rPr>
                <w:b/>
                <w:bCs/>
                <w:lang w:bidi="th-TH"/>
              </w:rPr>
              <w:t>React 18 / Vite</w:t>
            </w:r>
          </w:p>
        </w:tc>
        <w:tc>
          <w:tcPr>
            <w:tcW w:w="65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54C00E70" w14:textId="77777777" w:rsidR="00D869B6" w:rsidRPr="00D869B6" w:rsidRDefault="00D869B6" w:rsidP="00D869B6">
            <w:pPr>
              <w:rPr>
                <w:lang w:bidi="th-TH"/>
              </w:rPr>
            </w:pPr>
            <w:r w:rsidRPr="00D869B6">
              <w:rPr>
                <w:lang w:bidi="th-TH"/>
              </w:rPr>
              <w:t>Component-based frontend SPA with routing, API calls, and live chart rendering.</w:t>
            </w:r>
          </w:p>
        </w:tc>
      </w:tr>
      <w:tr w:rsidR="00D869B6" w:rsidRPr="00D869B6" w14:paraId="1032E692" w14:textId="77777777">
        <w:tc>
          <w:tcPr>
            <w:tcW w:w="2800" w:type="dxa"/>
            <w:tcBorders>
              <w:top w:val="single" w:sz="6" w:space="0" w:color="CCCCCC"/>
              <w:left w:val="single" w:sz="6" w:space="0" w:color="CCCCCC"/>
              <w:bottom w:val="single" w:sz="6" w:space="0" w:color="CCCCCC"/>
              <w:right w:val="single" w:sz="6" w:space="0" w:color="CCCCCC"/>
            </w:tcBorders>
            <w:shd w:val="clear" w:color="auto" w:fill="F4F7F9"/>
            <w:tcMar>
              <w:top w:w="100" w:type="dxa"/>
              <w:left w:w="140" w:type="dxa"/>
              <w:bottom w:w="100" w:type="dxa"/>
              <w:right w:w="140" w:type="dxa"/>
            </w:tcMar>
            <w:hideMark/>
          </w:tcPr>
          <w:p w14:paraId="236AD533" w14:textId="77777777" w:rsidR="00D869B6" w:rsidRPr="00D869B6" w:rsidRDefault="00D869B6" w:rsidP="00D869B6">
            <w:pPr>
              <w:rPr>
                <w:lang w:bidi="th-TH"/>
              </w:rPr>
            </w:pPr>
            <w:r w:rsidRPr="00D869B6">
              <w:rPr>
                <w:b/>
                <w:bCs/>
                <w:lang w:bidi="th-TH"/>
              </w:rPr>
              <w:t>Recharts</w:t>
            </w:r>
          </w:p>
        </w:tc>
        <w:tc>
          <w:tcPr>
            <w:tcW w:w="6560" w:type="dxa"/>
            <w:tcBorders>
              <w:top w:val="single" w:sz="6" w:space="0" w:color="CCCCCC"/>
              <w:left w:val="single" w:sz="6" w:space="0" w:color="CCCCCC"/>
              <w:bottom w:val="single" w:sz="6" w:space="0" w:color="CCCCCC"/>
              <w:right w:val="single" w:sz="6" w:space="0" w:color="CCCCCC"/>
            </w:tcBorders>
            <w:shd w:val="clear" w:color="auto" w:fill="F4F7F9"/>
            <w:tcMar>
              <w:top w:w="100" w:type="dxa"/>
              <w:left w:w="140" w:type="dxa"/>
              <w:bottom w:w="100" w:type="dxa"/>
              <w:right w:w="140" w:type="dxa"/>
            </w:tcMar>
            <w:hideMark/>
          </w:tcPr>
          <w:p w14:paraId="5481BCC0" w14:textId="77777777" w:rsidR="00D869B6" w:rsidRPr="00D869B6" w:rsidRDefault="00D869B6" w:rsidP="00D869B6">
            <w:pPr>
              <w:rPr>
                <w:lang w:bidi="th-TH"/>
              </w:rPr>
            </w:pPr>
            <w:r w:rsidRPr="00D869B6">
              <w:rPr>
                <w:lang w:bidi="th-TH"/>
              </w:rPr>
              <w:t xml:space="preserve">Interactive data </w:t>
            </w:r>
            <w:proofErr w:type="spellStart"/>
            <w:r w:rsidRPr="00D869B6">
              <w:rPr>
                <w:lang w:bidi="th-TH"/>
              </w:rPr>
              <w:t>visualisation</w:t>
            </w:r>
            <w:proofErr w:type="spellEnd"/>
            <w:r w:rsidRPr="00D869B6">
              <w:rPr>
                <w:lang w:bidi="th-TH"/>
              </w:rPr>
              <w:t>: bar, pie, radar, and waterfall charts.</w:t>
            </w:r>
          </w:p>
        </w:tc>
      </w:tr>
      <w:tr w:rsidR="00D869B6" w:rsidRPr="00D869B6" w14:paraId="53B5CFF7" w14:textId="77777777">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0BC43A32" w14:textId="77777777" w:rsidR="00D869B6" w:rsidRPr="00D869B6" w:rsidRDefault="00D869B6" w:rsidP="00D869B6">
            <w:pPr>
              <w:rPr>
                <w:lang w:bidi="th-TH"/>
              </w:rPr>
            </w:pPr>
            <w:proofErr w:type="spellStart"/>
            <w:r w:rsidRPr="00D869B6">
              <w:rPr>
                <w:b/>
                <w:bCs/>
                <w:lang w:bidi="th-TH"/>
              </w:rPr>
              <w:t>Jupyter</w:t>
            </w:r>
            <w:proofErr w:type="spellEnd"/>
            <w:r w:rsidRPr="00D869B6">
              <w:rPr>
                <w:b/>
                <w:bCs/>
                <w:lang w:bidi="th-TH"/>
              </w:rPr>
              <w:t xml:space="preserve"> / </w:t>
            </w:r>
            <w:proofErr w:type="spellStart"/>
            <w:r w:rsidRPr="00D869B6">
              <w:rPr>
                <w:b/>
                <w:bCs/>
                <w:lang w:bidi="th-TH"/>
              </w:rPr>
              <w:t>Colab</w:t>
            </w:r>
            <w:proofErr w:type="spellEnd"/>
          </w:p>
        </w:tc>
        <w:tc>
          <w:tcPr>
            <w:tcW w:w="65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01F94AC3" w14:textId="77777777" w:rsidR="00D869B6" w:rsidRPr="00D869B6" w:rsidRDefault="00D869B6" w:rsidP="00D869B6">
            <w:pPr>
              <w:rPr>
                <w:lang w:bidi="th-TH"/>
              </w:rPr>
            </w:pPr>
            <w:r w:rsidRPr="00D869B6">
              <w:rPr>
                <w:lang w:bidi="th-TH"/>
              </w:rPr>
              <w:t xml:space="preserve">Reproducible research environment for all </w:t>
            </w:r>
            <w:proofErr w:type="gramStart"/>
            <w:r w:rsidRPr="00D869B6">
              <w:rPr>
                <w:lang w:bidi="th-TH"/>
              </w:rPr>
              <w:t>exploratory</w:t>
            </w:r>
            <w:proofErr w:type="gramEnd"/>
            <w:r w:rsidRPr="00D869B6">
              <w:rPr>
                <w:lang w:bidi="th-TH"/>
              </w:rPr>
              <w:t xml:space="preserve"> and modelling experiments.</w:t>
            </w:r>
          </w:p>
        </w:tc>
      </w:tr>
    </w:tbl>
    <w:p w14:paraId="78A7DFD7" w14:textId="77777777" w:rsidR="00D869B6" w:rsidRPr="00D869B6" w:rsidRDefault="00D869B6" w:rsidP="00D869B6">
      <w:pPr>
        <w:rPr>
          <w:lang w:bidi="th-TH"/>
        </w:rPr>
      </w:pPr>
    </w:p>
    <w:p w14:paraId="5B432C65" w14:textId="77777777" w:rsidR="00D869B6" w:rsidRPr="00D869B6" w:rsidRDefault="00D869B6" w:rsidP="00D869B6">
      <w:pPr>
        <w:rPr>
          <w:b/>
          <w:bCs/>
          <w:lang w:bidi="th-TH"/>
        </w:rPr>
      </w:pPr>
      <w:r w:rsidRPr="00D869B6">
        <w:rPr>
          <w:b/>
          <w:bCs/>
          <w:lang w:bidi="th-TH"/>
        </w:rPr>
        <w:t>6.6 Ethical Considerations</w:t>
      </w:r>
    </w:p>
    <w:p w14:paraId="4B60903A" w14:textId="77777777" w:rsidR="00C56B56" w:rsidRPr="00C56B56" w:rsidRDefault="00C56B56" w:rsidP="00C56B56">
      <w:pPr>
        <w:rPr>
          <w:b/>
          <w:bCs/>
          <w:lang w:bidi="th-TH"/>
        </w:rPr>
      </w:pPr>
      <w:r w:rsidRPr="00C56B56">
        <w:rPr>
          <w:b/>
          <w:bCs/>
          <w:lang w:bidi="th-TH"/>
        </w:rPr>
        <w:t>Data Ethics &amp; Governance</w:t>
      </w:r>
    </w:p>
    <w:p w14:paraId="5289ED0B" w14:textId="77777777" w:rsidR="00C56B56" w:rsidRPr="00C56B56" w:rsidRDefault="00C56B56" w:rsidP="00C56B56">
      <w:pPr>
        <w:numPr>
          <w:ilvl w:val="0"/>
          <w:numId w:val="3"/>
        </w:numPr>
        <w:rPr>
          <w:lang w:bidi="th-TH"/>
        </w:rPr>
      </w:pPr>
      <w:r w:rsidRPr="00C56B56">
        <w:rPr>
          <w:b/>
          <w:bCs/>
          <w:lang w:bidi="th-TH"/>
        </w:rPr>
        <w:t>Data Privacy:</w:t>
      </w:r>
      <w:r w:rsidRPr="00C56B56">
        <w:rPr>
          <w:lang w:bidi="th-TH"/>
        </w:rPr>
        <w:t xml:space="preserve"> We follow strict UK data laws (GDPR). No personal information will be kept or used once this academic project is finished.</w:t>
      </w:r>
    </w:p>
    <w:p w14:paraId="10578F06" w14:textId="77777777" w:rsidR="00C56B56" w:rsidRPr="00C56B56" w:rsidRDefault="00C56B56" w:rsidP="00C56B56">
      <w:pPr>
        <w:numPr>
          <w:ilvl w:val="0"/>
          <w:numId w:val="3"/>
        </w:numPr>
        <w:rPr>
          <w:lang w:bidi="th-TH"/>
        </w:rPr>
      </w:pPr>
      <w:r w:rsidRPr="00C56B56">
        <w:rPr>
          <w:b/>
          <w:bCs/>
          <w:lang w:bidi="th-TH"/>
        </w:rPr>
        <w:t>Fairness Testing:</w:t>
      </w:r>
      <w:r w:rsidRPr="00C56B56">
        <w:rPr>
          <w:lang w:bidi="th-TH"/>
        </w:rPr>
        <w:t xml:space="preserve"> The AI will be checked to ensure it isn’t biased against specific industries or locations. We use "fairness metrics" to make sure the scoring is equal and balanced for everyone.</w:t>
      </w:r>
    </w:p>
    <w:p w14:paraId="0A168C5C" w14:textId="77777777" w:rsidR="00C56B56" w:rsidRPr="00C56B56" w:rsidRDefault="00C56B56" w:rsidP="00C56B56">
      <w:pPr>
        <w:numPr>
          <w:ilvl w:val="0"/>
          <w:numId w:val="3"/>
        </w:numPr>
        <w:rPr>
          <w:lang w:bidi="th-TH"/>
        </w:rPr>
      </w:pPr>
      <w:r w:rsidRPr="00C56B56">
        <w:rPr>
          <w:b/>
          <w:bCs/>
          <w:lang w:bidi="th-TH"/>
        </w:rPr>
        <w:t>Human Oversight:</w:t>
      </w:r>
      <w:r w:rsidRPr="00C56B56">
        <w:rPr>
          <w:lang w:bidi="th-TH"/>
        </w:rPr>
        <w:t xml:space="preserve"> The web app will clearly state that </w:t>
      </w:r>
      <w:r w:rsidRPr="00C56B56">
        <w:rPr>
          <w:b/>
          <w:bCs/>
          <w:lang w:bidi="th-TH"/>
        </w:rPr>
        <w:t>EMERALD-AI</w:t>
      </w:r>
      <w:r w:rsidRPr="00C56B56">
        <w:rPr>
          <w:lang w:bidi="th-TH"/>
        </w:rPr>
        <w:t xml:space="preserve"> is a helper tool, not a final judge. It is designed to support human experts, not replace their professional opinion.</w:t>
      </w:r>
    </w:p>
    <w:p w14:paraId="1E135B39" w14:textId="77777777" w:rsidR="00C56B56" w:rsidRPr="00C56B56" w:rsidRDefault="00C56B56" w:rsidP="00C56B56">
      <w:pPr>
        <w:numPr>
          <w:ilvl w:val="0"/>
          <w:numId w:val="3"/>
        </w:numPr>
        <w:rPr>
          <w:lang w:bidi="th-TH"/>
        </w:rPr>
      </w:pPr>
      <w:r w:rsidRPr="00C56B56">
        <w:rPr>
          <w:b/>
          <w:bCs/>
          <w:lang w:bidi="th-TH"/>
        </w:rPr>
        <w:t>Transparency:</w:t>
      </w:r>
      <w:r w:rsidRPr="00C56B56">
        <w:rPr>
          <w:lang w:bidi="th-TH"/>
        </w:rPr>
        <w:t xml:space="preserve"> All the code and model files are tracked and saved (version-controlled) so they can be easily reviewed by academic examiners.</w:t>
      </w:r>
    </w:p>
    <w:p w14:paraId="329C20A9" w14:textId="77777777" w:rsidR="00D869B6" w:rsidRPr="00D869B6" w:rsidRDefault="00D869B6" w:rsidP="00D869B6">
      <w:pPr>
        <w:rPr>
          <w:lang w:bidi="th-TH"/>
        </w:rPr>
      </w:pPr>
    </w:p>
    <w:p w14:paraId="2A9DC3CB" w14:textId="77777777" w:rsidR="00D869B6" w:rsidRPr="00D869B6" w:rsidRDefault="00D869B6" w:rsidP="00D869B6">
      <w:pPr>
        <w:rPr>
          <w:b/>
          <w:bCs/>
          <w:lang w:bidi="th-TH"/>
        </w:rPr>
      </w:pPr>
      <w:r w:rsidRPr="00D869B6">
        <w:rPr>
          <w:b/>
          <w:bCs/>
          <w:lang w:bidi="th-TH"/>
        </w:rPr>
        <w:t>7. Expected Contributions</w:t>
      </w:r>
    </w:p>
    <w:p w14:paraId="016D18C5" w14:textId="77777777" w:rsidR="00D869B6" w:rsidRPr="00D869B6" w:rsidRDefault="00D869B6" w:rsidP="00D869B6">
      <w:pPr>
        <w:rPr>
          <w:lang w:bidi="th-TH"/>
        </w:rPr>
      </w:pPr>
      <w:r w:rsidRPr="00D869B6">
        <w:rPr>
          <w:lang w:bidi="th-TH"/>
        </w:rPr>
        <w:lastRenderedPageBreak/>
        <w:t xml:space="preserve">EMERALD-AI is expected to make four distinct contributions to knowledge and practice. First, it will produce the first empirically validated, explainable ML credit scoring framework specifically trained on real green loan transaction data, filling a documented gap in the sustainable FinTech literature. Second, it will deliver a replicable open-source ML pipeline — combining gradient boosting, cross-validation, SMOTE, and </w:t>
      </w:r>
      <w:proofErr w:type="spellStart"/>
      <w:r w:rsidRPr="00D869B6">
        <w:rPr>
          <w:lang w:bidi="th-TH"/>
        </w:rPr>
        <w:t>TreeSHAP</w:t>
      </w:r>
      <w:proofErr w:type="spellEnd"/>
      <w:r w:rsidRPr="00D869B6">
        <w:rPr>
          <w:lang w:bidi="th-TH"/>
        </w:rPr>
        <w:t xml:space="preserve"> — that can be adapted for other green finance instruments. Third, through the full-stack web application, it will demonstrate how AI credit scoring can be made accessible and interpretable to non-technical practitioners, bridging the gap between model development and real-world deployment. Fourth, by embedding SHAP explainability and fairness testing throughout, it will provide a practical template for how AI credit models can be built in compliance with the EU AI Act and FCA Consumer Duty requirements.</w:t>
      </w:r>
    </w:p>
    <w:p w14:paraId="515BDEC2" w14:textId="77777777" w:rsidR="00D869B6" w:rsidRPr="00D869B6" w:rsidRDefault="00D869B6" w:rsidP="00D869B6">
      <w:pPr>
        <w:rPr>
          <w:lang w:bidi="th-TH"/>
        </w:rPr>
      </w:pPr>
    </w:p>
    <w:p w14:paraId="4E55E38D" w14:textId="20E2735A" w:rsidR="00D869B6" w:rsidRPr="004062E4" w:rsidRDefault="00D869B6" w:rsidP="00D869B6">
      <w:pPr>
        <w:rPr>
          <w:b/>
          <w:bCs/>
          <w:lang w:bidi="th-TH"/>
        </w:rPr>
      </w:pPr>
      <w:r w:rsidRPr="00D869B6">
        <w:rPr>
          <w:b/>
          <w:bCs/>
          <w:lang w:bidi="th-TH"/>
        </w:rPr>
        <w:t>References</w:t>
      </w:r>
    </w:p>
    <w:p w14:paraId="500788EA" w14:textId="77777777" w:rsidR="00D869B6" w:rsidRPr="00D869B6" w:rsidRDefault="00D869B6" w:rsidP="00D869B6">
      <w:pPr>
        <w:rPr>
          <w:lang w:bidi="th-TH"/>
        </w:rPr>
      </w:pPr>
      <w:proofErr w:type="spellStart"/>
      <w:r w:rsidRPr="00D869B6">
        <w:rPr>
          <w:lang w:bidi="th-TH"/>
        </w:rPr>
        <w:t>Baesens</w:t>
      </w:r>
      <w:proofErr w:type="spellEnd"/>
      <w:r w:rsidRPr="00D869B6">
        <w:rPr>
          <w:lang w:bidi="th-TH"/>
        </w:rPr>
        <w:t xml:space="preserve">, B., Van Gestel, T., Viaene, S., Stepanova, M., Suykens, J., &amp; </w:t>
      </w:r>
      <w:proofErr w:type="spellStart"/>
      <w:r w:rsidRPr="00D869B6">
        <w:rPr>
          <w:lang w:bidi="th-TH"/>
        </w:rPr>
        <w:t>Vanthienen</w:t>
      </w:r>
      <w:proofErr w:type="spellEnd"/>
      <w:r w:rsidRPr="00D869B6">
        <w:rPr>
          <w:lang w:bidi="th-TH"/>
        </w:rPr>
        <w:t>, J. (2003). Benchmarking state-of-the-art classification algorithms for credit scoring. Journal of the Operational Research Society, 54(6), 627–635. https://doi.org/10.1057/palgrave.jors.2601545</w:t>
      </w:r>
    </w:p>
    <w:p w14:paraId="4C1C5A0A" w14:textId="77777777" w:rsidR="00D869B6" w:rsidRPr="00D869B6" w:rsidRDefault="00D869B6" w:rsidP="00D869B6">
      <w:pPr>
        <w:rPr>
          <w:lang w:bidi="th-TH"/>
        </w:rPr>
      </w:pPr>
      <w:r w:rsidRPr="00D869B6">
        <w:rPr>
          <w:lang w:bidi="th-TH"/>
        </w:rPr>
        <w:t xml:space="preserve">Dumitrescu, E., Hue, S., Hurlin, C., &amp; </w:t>
      </w:r>
      <w:proofErr w:type="spellStart"/>
      <w:r w:rsidRPr="00D869B6">
        <w:rPr>
          <w:lang w:bidi="th-TH"/>
        </w:rPr>
        <w:t>Tokpavi</w:t>
      </w:r>
      <w:proofErr w:type="spellEnd"/>
      <w:r w:rsidRPr="00D869B6">
        <w:rPr>
          <w:lang w:bidi="th-TH"/>
        </w:rPr>
        <w:t>, S. (2022). Machine learning for credit scoring: Improving logistic regression with non-linear decision-tree effects. European Journal of Operational Research, 297(3), 1178–1192. https://doi.org/10.1016/j.ejor.2021.06.053</w:t>
      </w:r>
    </w:p>
    <w:p w14:paraId="76B71416" w14:textId="77777777" w:rsidR="00D869B6" w:rsidRPr="00D869B6" w:rsidRDefault="00D869B6" w:rsidP="00D869B6">
      <w:pPr>
        <w:rPr>
          <w:lang w:bidi="th-TH"/>
        </w:rPr>
      </w:pPr>
      <w:r w:rsidRPr="00D869B6">
        <w:rPr>
          <w:lang w:bidi="th-TH"/>
        </w:rPr>
        <w:t>Ehlers, T., &amp; Packer, F. (2017). Green bond finance and certification. BIS Quarterly Review, September 2017, 89–104. https://www.bis.org/publ/qtrpdf/r_qt1709h.htm</w:t>
      </w:r>
    </w:p>
    <w:p w14:paraId="688A83C1" w14:textId="77777777" w:rsidR="00D869B6" w:rsidRPr="00D869B6" w:rsidRDefault="00D869B6" w:rsidP="00D869B6">
      <w:pPr>
        <w:rPr>
          <w:lang w:bidi="th-TH"/>
        </w:rPr>
      </w:pPr>
      <w:r w:rsidRPr="00D869B6">
        <w:rPr>
          <w:lang w:bidi="th-TH"/>
        </w:rPr>
        <w:t xml:space="preserve">European Commission. (2021). Proposal for a regulation of the European Parliament and of the Council laying down </w:t>
      </w:r>
      <w:proofErr w:type="spellStart"/>
      <w:r w:rsidRPr="00D869B6">
        <w:rPr>
          <w:lang w:bidi="th-TH"/>
        </w:rPr>
        <w:t>harmonised</w:t>
      </w:r>
      <w:proofErr w:type="spellEnd"/>
      <w:r w:rsidRPr="00D869B6">
        <w:rPr>
          <w:lang w:bidi="th-TH"/>
        </w:rPr>
        <w:t xml:space="preserve"> rules on artificial intelligence (Artificial Intelligence Act). COM/2021/206 final. https://eur-lex.europa.eu/legal-content/EN/TXT/?uri=CELEX:52021PC0206</w:t>
      </w:r>
    </w:p>
    <w:p w14:paraId="24ED7562" w14:textId="77777777" w:rsidR="00D869B6" w:rsidRPr="00D869B6" w:rsidRDefault="00D869B6" w:rsidP="00D869B6">
      <w:pPr>
        <w:rPr>
          <w:lang w:bidi="th-TH"/>
        </w:rPr>
      </w:pPr>
      <w:r w:rsidRPr="00D869B6">
        <w:rPr>
          <w:lang w:bidi="th-TH"/>
        </w:rPr>
        <w:t>Financial Conduct Authority. (2022). Consumer Duty: Final rules and guidance. Policy Statement PS22/9. https://www.fca.org.uk/publications/policy-statements/ps22-9-new-consumer-duty</w:t>
      </w:r>
    </w:p>
    <w:p w14:paraId="44BCE427" w14:textId="77777777" w:rsidR="00D869B6" w:rsidRPr="00D869B6" w:rsidRDefault="00D869B6" w:rsidP="00D869B6">
      <w:pPr>
        <w:rPr>
          <w:lang w:bidi="th-TH"/>
        </w:rPr>
      </w:pPr>
      <w:r w:rsidRPr="00D869B6">
        <w:rPr>
          <w:lang w:bidi="th-TH"/>
        </w:rPr>
        <w:t>Flammer, C. (2021). Corporate green bonds. Journal of Financial Economics, 142(2), 499–516. https://doi.org/10.1016/j.jfineco.2021.01.010</w:t>
      </w:r>
    </w:p>
    <w:p w14:paraId="1D8984D0" w14:textId="77777777" w:rsidR="00D869B6" w:rsidRPr="00D869B6" w:rsidRDefault="00D869B6" w:rsidP="00D869B6">
      <w:pPr>
        <w:rPr>
          <w:lang w:bidi="th-TH"/>
        </w:rPr>
      </w:pPr>
      <w:r w:rsidRPr="00D869B6">
        <w:rPr>
          <w:lang w:bidi="th-TH"/>
        </w:rPr>
        <w:t xml:space="preserve">Lessmann, S., </w:t>
      </w:r>
      <w:proofErr w:type="spellStart"/>
      <w:r w:rsidRPr="00D869B6">
        <w:rPr>
          <w:lang w:bidi="th-TH"/>
        </w:rPr>
        <w:t>Baesens</w:t>
      </w:r>
      <w:proofErr w:type="spellEnd"/>
      <w:r w:rsidRPr="00D869B6">
        <w:rPr>
          <w:lang w:bidi="th-TH"/>
        </w:rPr>
        <w:t xml:space="preserve">, B., Seow, H. V., &amp; Thomas, L. C. (2015). Benchmarking state-of-the-art classification algorithms for credit scoring: An update of research. European </w:t>
      </w:r>
      <w:r w:rsidRPr="00D869B6">
        <w:rPr>
          <w:lang w:bidi="th-TH"/>
        </w:rPr>
        <w:lastRenderedPageBreak/>
        <w:t>Journal of Operational Research, 247(1), 124–136. https://doi.org/10.1016/j.ejor.2015.05.030</w:t>
      </w:r>
    </w:p>
    <w:p w14:paraId="3FB8CE78" w14:textId="77777777" w:rsidR="00D869B6" w:rsidRPr="00D869B6" w:rsidRDefault="00D869B6" w:rsidP="00D869B6">
      <w:pPr>
        <w:rPr>
          <w:lang w:bidi="th-TH"/>
        </w:rPr>
      </w:pPr>
      <w:r w:rsidRPr="00D869B6">
        <w:rPr>
          <w:lang w:bidi="th-TH"/>
        </w:rPr>
        <w:t>Loan Market Association, Asia Pacific Loan Market Association, &amp; Loan Syndications and Trading Association. (2023). Green Loan Principles. https://www.lma.eu.com/application/files/9716/9788/8476/Green_Loan_Principles_Feb2023.pdf</w:t>
      </w:r>
    </w:p>
    <w:p w14:paraId="2FD5A032" w14:textId="77777777" w:rsidR="00D869B6" w:rsidRPr="00D869B6" w:rsidRDefault="00D869B6" w:rsidP="00D869B6">
      <w:pPr>
        <w:rPr>
          <w:lang w:bidi="th-TH"/>
        </w:rPr>
      </w:pPr>
      <w:r w:rsidRPr="00D869B6">
        <w:rPr>
          <w:lang w:bidi="th-TH"/>
        </w:rPr>
        <w:t>Lundberg, S. M., &amp; Lee, S.-I. (2017). A unified approach to interpreting model predictions. Advances in Neural Information Processing Systems, 30, 4765–4774. https://proceedings.neurips.cc/paper/2017/hash/8a20a8621978632d76c43dfd28b67767-Abstract.html</w:t>
      </w:r>
    </w:p>
    <w:p w14:paraId="316F6665" w14:textId="77777777" w:rsidR="00D869B6" w:rsidRPr="00D869B6" w:rsidRDefault="00D869B6" w:rsidP="00D869B6">
      <w:pPr>
        <w:rPr>
          <w:lang w:bidi="th-TH"/>
        </w:rPr>
      </w:pPr>
      <w:r w:rsidRPr="00D869B6">
        <w:rPr>
          <w:lang w:bidi="th-TH"/>
        </w:rPr>
        <w:t>Reboredo, J. C., &amp; Ugolini, A. (2020). Price connectedness between green bond and financial markets. Economic Modelling, 88, 25–38. https://doi.org/10.1016/j.econmod.2019.09.004</w:t>
      </w:r>
    </w:p>
    <w:p w14:paraId="19B80E6E" w14:textId="77777777" w:rsidR="00D869B6" w:rsidRPr="00D869B6" w:rsidRDefault="00D869B6" w:rsidP="00D869B6">
      <w:pPr>
        <w:rPr>
          <w:lang w:bidi="th-TH"/>
        </w:rPr>
      </w:pPr>
      <w:r w:rsidRPr="00D869B6">
        <w:rPr>
          <w:lang w:bidi="th-TH"/>
        </w:rPr>
        <w:t>Tang, D. Y., &amp; Zhang, Y. (2020). Do shareholders benefit from green bonds? Journal of Corporate Finance, 61, Article 101427. https://doi.org/10.1016/j.jcorpfin.2018.12.001</w:t>
      </w:r>
    </w:p>
    <w:p w14:paraId="71860174" w14:textId="77777777" w:rsidR="00D869B6" w:rsidRPr="00D869B6" w:rsidRDefault="00D869B6" w:rsidP="00447E9E">
      <w:pPr>
        <w:rPr>
          <w:lang w:bidi="th-TH"/>
        </w:rPr>
      </w:pPr>
    </w:p>
    <w:p w14:paraId="51D605F6" w14:textId="77777777" w:rsidR="00447E9E" w:rsidRPr="00447E9E" w:rsidRDefault="00447E9E" w:rsidP="00447E9E"/>
    <w:p w14:paraId="37696E78" w14:textId="77777777" w:rsidR="00447E9E" w:rsidRDefault="00447E9E"/>
    <w:p w14:paraId="72B2B594" w14:textId="77777777" w:rsidR="00447E9E" w:rsidRDefault="00447E9E"/>
    <w:p w14:paraId="3961A8CA" w14:textId="77777777" w:rsidR="00447E9E" w:rsidRDefault="00447E9E"/>
    <w:p w14:paraId="5D0BFE87" w14:textId="77777777" w:rsidR="00447E9E" w:rsidRDefault="00447E9E"/>
    <w:p w14:paraId="4B5D534A" w14:textId="77777777" w:rsidR="00447E9E" w:rsidRDefault="00447E9E"/>
    <w:p w14:paraId="7FC8A8B8" w14:textId="77777777" w:rsidR="00447E9E" w:rsidRDefault="00447E9E"/>
    <w:p w14:paraId="513755D4" w14:textId="77777777" w:rsidR="00447E9E" w:rsidRDefault="00447E9E"/>
    <w:p w14:paraId="2215713A" w14:textId="77777777" w:rsidR="00447E9E" w:rsidRDefault="00447E9E"/>
    <w:sectPr w:rsidR="00447E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A5C78"/>
    <w:multiLevelType w:val="multilevel"/>
    <w:tmpl w:val="6E0A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91387F"/>
    <w:multiLevelType w:val="hybridMultilevel"/>
    <w:tmpl w:val="565A2FD0"/>
    <w:lvl w:ilvl="0" w:tplc="BEE83EDE">
      <w:start w:val="1"/>
      <w:numFmt w:val="bullet"/>
      <w:lvlText w:val="•"/>
      <w:lvlJc w:val="left"/>
      <w:pPr>
        <w:ind w:left="720" w:hanging="360"/>
      </w:pPr>
    </w:lvl>
    <w:lvl w:ilvl="1" w:tplc="232CC498">
      <w:numFmt w:val="decimal"/>
      <w:lvlText w:val=""/>
      <w:lvlJc w:val="left"/>
      <w:pPr>
        <w:ind w:left="0" w:firstLine="0"/>
      </w:pPr>
    </w:lvl>
    <w:lvl w:ilvl="2" w:tplc="AA0C39EA">
      <w:numFmt w:val="decimal"/>
      <w:lvlText w:val=""/>
      <w:lvlJc w:val="left"/>
      <w:pPr>
        <w:ind w:left="0" w:firstLine="0"/>
      </w:pPr>
    </w:lvl>
    <w:lvl w:ilvl="3" w:tplc="4BE4FC54">
      <w:numFmt w:val="decimal"/>
      <w:lvlText w:val=""/>
      <w:lvlJc w:val="left"/>
      <w:pPr>
        <w:ind w:left="0" w:firstLine="0"/>
      </w:pPr>
    </w:lvl>
    <w:lvl w:ilvl="4" w:tplc="BBF88B20">
      <w:numFmt w:val="decimal"/>
      <w:lvlText w:val=""/>
      <w:lvlJc w:val="left"/>
      <w:pPr>
        <w:ind w:left="0" w:firstLine="0"/>
      </w:pPr>
    </w:lvl>
    <w:lvl w:ilvl="5" w:tplc="D98086C0">
      <w:numFmt w:val="decimal"/>
      <w:lvlText w:val=""/>
      <w:lvlJc w:val="left"/>
      <w:pPr>
        <w:ind w:left="0" w:firstLine="0"/>
      </w:pPr>
    </w:lvl>
    <w:lvl w:ilvl="6" w:tplc="1E449CA0">
      <w:numFmt w:val="decimal"/>
      <w:lvlText w:val=""/>
      <w:lvlJc w:val="left"/>
      <w:pPr>
        <w:ind w:left="0" w:firstLine="0"/>
      </w:pPr>
    </w:lvl>
    <w:lvl w:ilvl="7" w:tplc="5024EF28">
      <w:numFmt w:val="decimal"/>
      <w:lvlText w:val=""/>
      <w:lvlJc w:val="left"/>
      <w:pPr>
        <w:ind w:left="0" w:firstLine="0"/>
      </w:pPr>
    </w:lvl>
    <w:lvl w:ilvl="8" w:tplc="53AA2E7C">
      <w:numFmt w:val="decimal"/>
      <w:lvlText w:val=""/>
      <w:lvlJc w:val="left"/>
      <w:pPr>
        <w:ind w:left="0" w:firstLine="0"/>
      </w:pPr>
    </w:lvl>
  </w:abstractNum>
  <w:abstractNum w:abstractNumId="2" w15:restartNumberingAfterBreak="0">
    <w:nsid w:val="740B1B70"/>
    <w:multiLevelType w:val="hybridMultilevel"/>
    <w:tmpl w:val="98B4B084"/>
    <w:lvl w:ilvl="0" w:tplc="57107040">
      <w:start w:val="1"/>
      <w:numFmt w:val="decimal"/>
      <w:lvlText w:val="%1."/>
      <w:lvlJc w:val="left"/>
      <w:pPr>
        <w:ind w:left="720" w:hanging="360"/>
      </w:pPr>
    </w:lvl>
    <w:lvl w:ilvl="1" w:tplc="B494347C">
      <w:numFmt w:val="decimal"/>
      <w:lvlText w:val=""/>
      <w:lvlJc w:val="left"/>
      <w:pPr>
        <w:ind w:left="0" w:firstLine="0"/>
      </w:pPr>
    </w:lvl>
    <w:lvl w:ilvl="2" w:tplc="CAA6E072">
      <w:numFmt w:val="decimal"/>
      <w:lvlText w:val=""/>
      <w:lvlJc w:val="left"/>
      <w:pPr>
        <w:ind w:left="0" w:firstLine="0"/>
      </w:pPr>
    </w:lvl>
    <w:lvl w:ilvl="3" w:tplc="3336298A">
      <w:numFmt w:val="decimal"/>
      <w:lvlText w:val=""/>
      <w:lvlJc w:val="left"/>
      <w:pPr>
        <w:ind w:left="0" w:firstLine="0"/>
      </w:pPr>
    </w:lvl>
    <w:lvl w:ilvl="4" w:tplc="FA82FFD8">
      <w:numFmt w:val="decimal"/>
      <w:lvlText w:val=""/>
      <w:lvlJc w:val="left"/>
      <w:pPr>
        <w:ind w:left="0" w:firstLine="0"/>
      </w:pPr>
    </w:lvl>
    <w:lvl w:ilvl="5" w:tplc="C448A9F6">
      <w:numFmt w:val="decimal"/>
      <w:lvlText w:val=""/>
      <w:lvlJc w:val="left"/>
      <w:pPr>
        <w:ind w:left="0" w:firstLine="0"/>
      </w:pPr>
    </w:lvl>
    <w:lvl w:ilvl="6" w:tplc="F06CE756">
      <w:numFmt w:val="decimal"/>
      <w:lvlText w:val=""/>
      <w:lvlJc w:val="left"/>
      <w:pPr>
        <w:ind w:left="0" w:firstLine="0"/>
      </w:pPr>
    </w:lvl>
    <w:lvl w:ilvl="7" w:tplc="746E130A">
      <w:numFmt w:val="decimal"/>
      <w:lvlText w:val=""/>
      <w:lvlJc w:val="left"/>
      <w:pPr>
        <w:ind w:left="0" w:firstLine="0"/>
      </w:pPr>
    </w:lvl>
    <w:lvl w:ilvl="8" w:tplc="CD92D2F0">
      <w:numFmt w:val="decimal"/>
      <w:lvlText w:val=""/>
      <w:lvlJc w:val="left"/>
      <w:pPr>
        <w:ind w:left="0" w:firstLine="0"/>
      </w:pPr>
    </w:lvl>
  </w:abstractNum>
  <w:num w:numId="1" w16cid:durableId="1540507197">
    <w:abstractNumId w:val="2"/>
    <w:lvlOverride w:ilvl="0">
      <w:startOverride w:val="1"/>
    </w:lvlOverride>
    <w:lvlOverride w:ilvl="1"/>
    <w:lvlOverride w:ilvl="2"/>
    <w:lvlOverride w:ilvl="3"/>
    <w:lvlOverride w:ilvl="4"/>
    <w:lvlOverride w:ilvl="5"/>
    <w:lvlOverride w:ilvl="6"/>
    <w:lvlOverride w:ilvl="7"/>
    <w:lvlOverride w:ilvl="8"/>
  </w:num>
  <w:num w:numId="2" w16cid:durableId="1047294760">
    <w:abstractNumId w:val="1"/>
  </w:num>
  <w:num w:numId="3" w16cid:durableId="1531839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E9E"/>
    <w:rsid w:val="0014116F"/>
    <w:rsid w:val="004062E4"/>
    <w:rsid w:val="00447E9E"/>
    <w:rsid w:val="00585FF4"/>
    <w:rsid w:val="005E3ED0"/>
    <w:rsid w:val="006A1C59"/>
    <w:rsid w:val="006D1284"/>
    <w:rsid w:val="00740A5B"/>
    <w:rsid w:val="00C56B56"/>
    <w:rsid w:val="00D869B6"/>
    <w:rsid w:val="00E345DB"/>
    <w:rsid w:val="00FA44E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8B7B3"/>
  <w15:chartTrackingRefBased/>
  <w15:docId w15:val="{B33EE891-EC63-47E9-99C3-08FF70D93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7E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E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E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E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E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7E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E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E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E9E"/>
    <w:rPr>
      <w:rFonts w:eastAsiaTheme="majorEastAsia" w:cstheme="majorBidi"/>
      <w:color w:val="272727" w:themeColor="text1" w:themeTint="D8"/>
    </w:rPr>
  </w:style>
  <w:style w:type="paragraph" w:styleId="Title">
    <w:name w:val="Title"/>
    <w:basedOn w:val="Normal"/>
    <w:next w:val="Normal"/>
    <w:link w:val="TitleChar"/>
    <w:uiPriority w:val="10"/>
    <w:qFormat/>
    <w:rsid w:val="00447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E9E"/>
    <w:pPr>
      <w:spacing w:before="160"/>
      <w:jc w:val="center"/>
    </w:pPr>
    <w:rPr>
      <w:i/>
      <w:iCs/>
      <w:color w:val="404040" w:themeColor="text1" w:themeTint="BF"/>
    </w:rPr>
  </w:style>
  <w:style w:type="character" w:customStyle="1" w:styleId="QuoteChar">
    <w:name w:val="Quote Char"/>
    <w:basedOn w:val="DefaultParagraphFont"/>
    <w:link w:val="Quote"/>
    <w:uiPriority w:val="29"/>
    <w:rsid w:val="00447E9E"/>
    <w:rPr>
      <w:i/>
      <w:iCs/>
      <w:color w:val="404040" w:themeColor="text1" w:themeTint="BF"/>
    </w:rPr>
  </w:style>
  <w:style w:type="paragraph" w:styleId="ListParagraph">
    <w:name w:val="List Paragraph"/>
    <w:basedOn w:val="Normal"/>
    <w:uiPriority w:val="34"/>
    <w:qFormat/>
    <w:rsid w:val="00447E9E"/>
    <w:pPr>
      <w:ind w:left="720"/>
      <w:contextualSpacing/>
    </w:pPr>
  </w:style>
  <w:style w:type="character" w:styleId="IntenseEmphasis">
    <w:name w:val="Intense Emphasis"/>
    <w:basedOn w:val="DefaultParagraphFont"/>
    <w:uiPriority w:val="21"/>
    <w:qFormat/>
    <w:rsid w:val="00447E9E"/>
    <w:rPr>
      <w:i/>
      <w:iCs/>
      <w:color w:val="0F4761" w:themeColor="accent1" w:themeShade="BF"/>
    </w:rPr>
  </w:style>
  <w:style w:type="paragraph" w:styleId="IntenseQuote">
    <w:name w:val="Intense Quote"/>
    <w:basedOn w:val="Normal"/>
    <w:next w:val="Normal"/>
    <w:link w:val="IntenseQuoteChar"/>
    <w:uiPriority w:val="30"/>
    <w:qFormat/>
    <w:rsid w:val="00447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E9E"/>
    <w:rPr>
      <w:i/>
      <w:iCs/>
      <w:color w:val="0F4761" w:themeColor="accent1" w:themeShade="BF"/>
    </w:rPr>
  </w:style>
  <w:style w:type="character" w:styleId="IntenseReference">
    <w:name w:val="Intense Reference"/>
    <w:basedOn w:val="DefaultParagraphFont"/>
    <w:uiPriority w:val="32"/>
    <w:qFormat/>
    <w:rsid w:val="00447E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0EEC18-A4BC-4B66-9F33-6AB1B1EDD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11</Pages>
  <Words>3128</Words>
  <Characters>17834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KRUERATTANAKUL, TATPHONG (PGT)</dc:creator>
  <cp:keywords/>
  <dc:description/>
  <cp:lastModifiedBy>KRUERATTANAKUL, TATPHONG (PGT)</cp:lastModifiedBy>
  <cp:revision>4</cp:revision>
  <dcterms:created xsi:type="dcterms:W3CDTF">2026-04-26T12:55:00Z</dcterms:created>
  <dcterms:modified xsi:type="dcterms:W3CDTF">2026-04-26T19:37:00Z</dcterms:modified>
</cp:coreProperties>
</file>