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F32"/>
          <w:sz w:val="32"/>
        </w:rPr>
        <w:t>EMERALD-AI: An Explainable, Calibrated, and Audit-Ready</w:t>
        <w:br/>
        <w:t>Machine Learning Framework for Green Loan Credit Scoring,</w:t>
        <w:br/>
        <w:t>Operationalised as a Full-Stack Decision-Support Platform</w:t>
      </w:r>
    </w:p>
    <w:p>
      <w:pPr>
        <w:jc w:val="center"/>
      </w:pPr>
      <w:r>
        <w:rPr>
          <w:i/>
          <w:sz w:val="22"/>
        </w:rPr>
        <w:t>MSc Applied Artificial Intelligence — Dissertation Proposal (Second Draft)</w:t>
      </w:r>
    </w:p>
    <w:p/>
    <w:p>
      <w:pPr>
        <w:pStyle w:val="Heading1"/>
      </w:pPr>
      <w:r>
        <w:rPr>
          <w:color w:val="1F3A2E"/>
        </w:rPr>
        <w:t>Abstract</w:t>
      </w:r>
    </w:p>
    <w:p>
      <w:pPr>
        <w:jc w:val="both"/>
      </w:pPr>
      <w:r>
        <w:rPr>
          <w:rFonts w:ascii="Calibri" w:hAnsi="Calibri"/>
          <w:sz w:val="22"/>
        </w:rPr>
        <w:t>The global green loan market has grown at a compound annual rate exceeding 40% since 2018, yet credit-risk infrastructure for sustainable lending remains anchored in scorecards designed for conventional consumer credit. This dissertation proposes EMERALD-AI, an explainable, calibrated, and audit-ready machine learning (ML) framework for green-loan credit scoring, evaluated on a proprietary 2019 dataset of 14,135 funded transactions with 166 structured variables. The framework benchmarks a coherent family of classifiers spanning regularised logistic regression, kernel SVM, gradient-boosted decision trees (XGBoost, LightGBM, CatBoost), and modern tabular deep learning (FT-Transformer, MLP) under nested stratified cross-validation with Bayesian hyperparameter optimisation. To meet EU AI Act and FCA Consumer Duty obligations, EMERALD-AI integrates (i) a multi-layer explainability stack (TreeSHAP, KernelSHAP, counterfactual DiCE), (ii) Platt and isotonic probability calibration, (iii) split-conformal prediction for distribution-free uncertainty quantification, and (iv) a fairness audit covering disparate impact, equalised odds, and calibration parity across industry and geographic proxies. The trained system is operationalised through a containerised FastAPI/React full-stack application supporting single-applicant scoring with local explanations, batch CSV scoring, portfolio analytics, and a SHAP-based feature explorer. Expected contributions: (a) the first published, empirically validated, green-loan-specific ML credit-scoring framework; (b) a reproducible MLOps blueprint for high-stakes financial AI; (c) a regulator-ready audit template covering calibration, fairness, robustness, and explanation fidelity; (d) an open-source platform that bridges research prototypes and lending-officer workflows.</w:t>
      </w:r>
    </w:p>
    <w:p>
      <w:pPr>
        <w:jc w:val="both"/>
      </w:pPr>
      <w:r>
        <w:rPr>
          <w:rFonts w:ascii="Calibri" w:hAnsi="Calibri"/>
          <w:i/>
          <w:sz w:val="22"/>
        </w:rPr>
        <w:t>Alternative working titles under consideration:</w:t>
      </w:r>
    </w:p>
    <w:p>
      <w:pPr>
        <w:pStyle w:val="ListBullet"/>
        <w:jc w:val="both"/>
      </w:pPr>
      <w:r>
        <w:rPr>
          <w:rFonts w:ascii="Calibri" w:hAnsi="Calibri"/>
          <w:sz w:val="22"/>
        </w:rPr>
        <w:t>VERDIS-AI — Verifiable Explainable Risk Decisioning for Industrial Sustainability</w:t>
      </w:r>
    </w:p>
    <w:p>
      <w:pPr>
        <w:pStyle w:val="ListBullet"/>
        <w:jc w:val="both"/>
      </w:pPr>
      <w:r>
        <w:rPr>
          <w:rFonts w:ascii="Calibri" w:hAnsi="Calibri"/>
          <w:sz w:val="22"/>
        </w:rPr>
        <w:t>SYLVAN-Credit — Sustainable, Yield-aware Lending with Verifiable, Auditable Networks</w:t>
      </w:r>
    </w:p>
    <w:p>
      <w:pPr>
        <w:pStyle w:val="ListBullet"/>
        <w:jc w:val="both"/>
      </w:pPr>
      <w:r>
        <w:rPr>
          <w:rFonts w:ascii="Calibri" w:hAnsi="Calibri"/>
          <w:sz w:val="22"/>
        </w:rPr>
        <w:t>TERRA-Score — Transparent, Equitable, Regulator-aligned Risk Assessment for green lending</w:t>
      </w:r>
    </w:p>
    <w:p>
      <w:r>
        <w:br w:type="page"/>
      </w:r>
    </w:p>
    <w:p>
      <w:pPr>
        <w:pStyle w:val="Heading1"/>
      </w:pPr>
      <w:r>
        <w:rPr>
          <w:color w:val="1F3A2E"/>
        </w:rPr>
        <w:t>1. Introduction</w:t>
      </w:r>
    </w:p>
    <w:p>
      <w:pPr>
        <w:jc w:val="both"/>
      </w:pPr>
      <w:r>
        <w:rPr>
          <w:rFonts w:ascii="Calibri" w:hAnsi="Calibri"/>
          <w:sz w:val="22"/>
        </w:rPr>
        <w:t>Green lending has expanded from a niche sustainability initiative into a mainstream fixture of modern finance. Green loans are credit products whose proceeds are ring-fenced for environmentally beneficial purposes — renewable energy installations, energy-efficient building upgrades, clean transportation, and sustainable agriculture, among others. The Loan Market Association et al. (2023) reports that the global green loan market has grown at a compound annual rate exceeding 40% since 2018, reflecting both rising investor appetite for responsible assets and intensifying regulatory pressure on financial institutions to align their portfolios with net-zero commitments.</w:t>
      </w:r>
    </w:p>
    <w:p>
      <w:pPr>
        <w:jc w:val="both"/>
      </w:pPr>
      <w:r>
        <w:rPr>
          <w:rFonts w:ascii="Calibri" w:hAnsi="Calibri"/>
          <w:sz w:val="22"/>
        </w:rPr>
        <w:t>Despite this rapid growth, credit assessment in green lending remains anchored to scoring frameworks built for conventional loan products. Traditional models rely heavily on a narrow set of indicators — repayment history, income, and debt coverage — and are poorly equipped to evaluate the environmental viability of funded projects, the long-horizon cash-flow profiles of renewable-energy assets, or the reputational exposure arising from greenwashing. As Ehlers and Packer (2017) observe, the information gap between borrowers and lenders in green debt markets is one of the defining structural weaknesses of the asset class, creating risks of capital misallocation that undermine the very purpose of sustainable finance.</w:t>
      </w:r>
    </w:p>
    <w:p>
      <w:pPr>
        <w:jc w:val="both"/>
      </w:pPr>
      <w:r>
        <w:rPr>
          <w:rFonts w:ascii="Calibri" w:hAnsi="Calibri"/>
          <w:sz w:val="22"/>
        </w:rPr>
        <w:t>Artificial Intelligence (AI) and Machine Learning offer a fundamentally different approach. Rather than applying fixed rules to a small set of variables, ML algorithms can simultaneously process hundreds of features, identify non-linear relationships that conventional models miss, and produce risk assessments that adapt as new data becomes available. This dissertation presents EMERALD-AI — an explainable, calibrated, and audit-ready ML credit-scoring framework trained on a real-world dataset of 14,135 funded green-loan transactions from 2019, encompassing 166 structured variables including credit scores, loan amounts, annual percentage rates, factor rates, payback ratios, industry classifications, borrower states, deal stages, and tier classifications. Crucially, the research also delivers a production-ready full-stack web application through which the trained model can be accessed interactively, making the findings directly usable by lending institutions rather than confined to academic outputs.</w:t>
      </w:r>
    </w:p>
    <w:p>
      <w:pPr>
        <w:pStyle w:val="Heading1"/>
      </w:pPr>
      <w:r>
        <w:rPr>
          <w:color w:val="1F3A2E"/>
        </w:rPr>
        <w:t>2. Motivation</w:t>
      </w:r>
    </w:p>
    <w:p>
      <w:pPr>
        <w:pStyle w:val="Heading2"/>
      </w:pPr>
      <w:r>
        <w:rPr>
          <w:color w:val="1F3A2E"/>
        </w:rPr>
        <w:t>2.1 Operational Gap in Green Lending Practice</w:t>
      </w:r>
    </w:p>
    <w:p>
      <w:pPr>
        <w:jc w:val="both"/>
      </w:pPr>
      <w:r>
        <w:rPr>
          <w:rFonts w:ascii="Calibri" w:hAnsi="Calibri"/>
          <w:sz w:val="22"/>
        </w:rPr>
        <w:t>Preliminary inspection of the 2019 dataset reveals striking heterogeneity across borrowers: credit scores span the full sub-prime to super-prime range, APR structures vary materially by industry and tier, and deal outcomes are unevenly distributed across states and sectors. Despite this heterogeneity, green-lending institutions commonly apply broadly uniform credit thresholds. This is the canonical inefficiency that ML is designed to address — learning to treat different borrower profiles differently in ways that are grounded in data rather than intuition.</w:t>
      </w:r>
    </w:p>
    <w:p>
      <w:pPr>
        <w:pStyle w:val="Heading2"/>
      </w:pPr>
      <w:r>
        <w:rPr>
          <w:color w:val="1F3A2E"/>
        </w:rPr>
        <w:t>2.2 Gap in the Academic Literature</w:t>
      </w:r>
    </w:p>
    <w:p>
      <w:pPr>
        <w:jc w:val="both"/>
      </w:pPr>
      <w:r>
        <w:rPr>
          <w:rFonts w:ascii="Calibri" w:hAnsi="Calibri"/>
          <w:sz w:val="22"/>
        </w:rPr>
        <w:t>There is a well-established body of work on ML in conventional credit scoring [Baesens et al., 2003; Lessmann et al., 2015; Dumitrescu et al., 2022], and a growing literature on green finance [Flammer, 2021; Tang and Zhang, 2020]. However, empirical research at the intersection of these two fields — work that specifically asks how modern ML can improve credit decisions in green lending, on real green-loan data, with the calibration, explainability, and fairness machinery expected of high-risk AI under the EU AI Act — is conspicuously absent. EMERALD-AI directly addresses this gap.</w:t>
      </w:r>
    </w:p>
    <w:p>
      <w:pPr>
        <w:pStyle w:val="Heading2"/>
      </w:pPr>
      <w:r>
        <w:rPr>
          <w:color w:val="1F3A2E"/>
        </w:rPr>
        <w:t>2.3 Regulatory Pressure for Explainability and Audit</w:t>
      </w:r>
    </w:p>
    <w:p>
      <w:pPr>
        <w:jc w:val="both"/>
      </w:pPr>
      <w:r>
        <w:rPr>
          <w:rFonts w:ascii="Calibri" w:hAnsi="Calibri"/>
          <w:sz w:val="22"/>
        </w:rPr>
        <w:t>A model that produces accurate predictions but cannot explain them is not deployable in regulated financial services. The EU AI Act [European Commission, 2021] classifies credit scoring as an Annex III high-risk application, mandating data governance, technical documentation, transparency, human oversight, accuracy and robustness logging, and post-market monitoring. The UK Financial Conduct Authority's Consumer Duty [FCA, 2022] requires firms to demonstrate that automated decisions are fair and explainable to consumers. The EBA Guidelines on Loan Origination and Monitoring [EBA, 2020] further require lenders to evidence model robustness and interpretability. EMERALD-AI treats explainability, calibration, and fairness as non-negotiable first-class design requirements — embedded from the outset rather than retrofitted.</w:t>
      </w:r>
    </w:p>
    <w:p>
      <w:pPr>
        <w:pStyle w:val="Heading2"/>
      </w:pPr>
      <w:r>
        <w:rPr>
          <w:color w:val="1F3A2E"/>
        </w:rPr>
        <w:t>2.4 Contribution to Climate Action</w:t>
      </w:r>
    </w:p>
    <w:p>
      <w:pPr>
        <w:jc w:val="both"/>
      </w:pPr>
      <w:r>
        <w:rPr>
          <w:rFonts w:ascii="Calibri" w:hAnsi="Calibri"/>
          <w:sz w:val="22"/>
        </w:rPr>
        <w:t>Poorly allocated green finance is not just a financial problem — it is an environmental one. Capital directed toward projects that fail to deliver genuine ecological benefit delays the adoption of clean technologies and undermines public trust in sustainable finance. Improving green credit decisions, even incrementally, contributes to the United Nations Sustainable Development Goals — particularly SDG 7 (Affordable and Clean Energy), SDG 11 (Sustainable Cities and Communities), and SDG 13 (Climate Action) — and supports the financial system's broader alignment with the Paris Agreement.</w:t>
      </w:r>
    </w:p>
    <w:p>
      <w:pPr>
        <w:pStyle w:val="Heading1"/>
      </w:pPr>
      <w:r>
        <w:rPr>
          <w:color w:val="1F3A2E"/>
        </w:rPr>
        <w:t>3. Research Objectives and Research Questions</w:t>
      </w:r>
    </w:p>
    <w:p>
      <w:pPr>
        <w:pStyle w:val="Heading2"/>
      </w:pPr>
      <w:r>
        <w:rPr>
          <w:color w:val="1F3A2E"/>
        </w:rPr>
        <w:t>3.1 Research Objectives</w:t>
      </w:r>
    </w:p>
    <w:p>
      <w:pPr>
        <w:pStyle w:val="ListNumber"/>
        <w:jc w:val="both"/>
      </w:pPr>
      <w:r>
        <w:rPr>
          <w:rFonts w:ascii="Calibri" w:hAnsi="Calibri"/>
          <w:sz w:val="22"/>
        </w:rPr>
        <w:t>Conduct a rigorous exploratory analysis of the 2019 All Funded Green Loan dataset, including a systematic target-leakage audit, to identify the statistical distributions, inter-feature relationships, and pre-funding variables most strongly associated with green-loan creditworthiness.</w:t>
      </w:r>
    </w:p>
    <w:p>
      <w:pPr>
        <w:pStyle w:val="ListNumber"/>
        <w:jc w:val="both"/>
      </w:pPr>
      <w:r>
        <w:rPr>
          <w:rFonts w:ascii="Calibri" w:hAnsi="Calibri"/>
          <w:sz w:val="22"/>
        </w:rPr>
        <w:t>Design and implement a fully reproducible, version-controlled end-to-end ML pipeline that integrates financial, operational, and borrower-level features into a credit-scoring model purpose-built for green-loan assessment.</w:t>
      </w:r>
    </w:p>
    <w:p>
      <w:pPr>
        <w:pStyle w:val="ListNumber"/>
        <w:jc w:val="both"/>
      </w:pPr>
      <w:r>
        <w:rPr>
          <w:rFonts w:ascii="Calibri" w:hAnsi="Calibri"/>
          <w:sz w:val="22"/>
        </w:rPr>
        <w:t>Train, optimise, and benchmark six ML algorithms — L1/L2-regularised Logistic Regression, kernel SVM, Random Forest, XGBoost, LightGBM/CatBoost, and a tabular deep-learning family (MLP and FT-Transformer) — under nested stratified cross-validation with Bayesian hyperparameter optimisation, comparing them using credit-risk-appropriate metrics with statistical significance testing.</w:t>
      </w:r>
    </w:p>
    <w:p>
      <w:pPr>
        <w:pStyle w:val="ListNumber"/>
        <w:jc w:val="both"/>
      </w:pPr>
      <w:r>
        <w:rPr>
          <w:rFonts w:ascii="Calibri" w:hAnsi="Calibri"/>
          <w:sz w:val="22"/>
        </w:rPr>
        <w:t>Integrate a multi-layer explainability stack (TreeSHAP, KernelSHAP, LIME, DiCE counterfactuals) and empirically validate explanation fidelity to produce transparent decisions at both global and local scales, in compliance with EU AI Act and FCA Consumer Duty requirements.</w:t>
      </w:r>
    </w:p>
    <w:p>
      <w:pPr>
        <w:pStyle w:val="ListNumber"/>
        <w:jc w:val="both"/>
      </w:pPr>
      <w:r>
        <w:rPr>
          <w:rFonts w:ascii="Calibri" w:hAnsi="Calibri"/>
          <w:sz w:val="22"/>
        </w:rPr>
        <w:t>Apply post-hoc probability calibration (Platt, isotonic, temperature scaling) and split-conformal prediction to deliver well-calibrated probabilities and distribution-free per-applicant uncertainty intervals — properties largely absent in the existing green-credit ML literature.</w:t>
      </w:r>
    </w:p>
    <w:p>
      <w:pPr>
        <w:pStyle w:val="ListNumber"/>
        <w:jc w:val="both"/>
      </w:pPr>
      <w:r>
        <w:rPr>
          <w:rFonts w:ascii="Calibri" w:hAnsi="Calibri"/>
          <w:sz w:val="22"/>
        </w:rPr>
        <w:t>Conduct a fairness, stability, and robustness audit across industry, geographic, and business-size proxy axes, measuring disparate impact, equalised-odds gaps, predictive parity, calibration-within-group, and prediction stability under input perturbation and concept drift.</w:t>
      </w:r>
    </w:p>
    <w:p>
      <w:pPr>
        <w:pStyle w:val="ListNumber"/>
        <w:jc w:val="both"/>
      </w:pPr>
      <w:r>
        <w:rPr>
          <w:rFonts w:ascii="Calibri" w:hAnsi="Calibri"/>
          <w:sz w:val="22"/>
        </w:rPr>
        <w:t>Develop and deploy a containerised, MLOps-grade full-stack web application — the EMERALD-AI platform — that makes the trained model accessible through a professional interactive interface, including single-borrower prediction with local explanation and counterfactual, batch CSV scoring, portfolio analytics with fairness panel, and a SHAP feature explorer.</w:t>
      </w:r>
    </w:p>
    <w:p>
      <w:pPr>
        <w:pStyle w:val="Heading2"/>
      </w:pPr>
      <w:r>
        <w:rPr>
          <w:color w:val="1F3A2E"/>
        </w:rPr>
        <w:t>3.2 Research Questions</w:t>
      </w:r>
    </w:p>
    <w:p>
      <w:pPr>
        <w:pStyle w:val="ListBullet"/>
        <w:jc w:val="both"/>
      </w:pPr>
      <w:r>
        <w:rPr>
          <w:rFonts w:ascii="Calibri" w:hAnsi="Calibri"/>
          <w:sz w:val="22"/>
        </w:rPr>
        <w:t>RQ1 — Which pre-funding variables in the 2019 green-loan dataset are the strongest predictors of borrower creditworthiness, and do they differ meaningfully from the predictors that dominate conventional credit scoring?</w:t>
      </w:r>
    </w:p>
    <w:p>
      <w:pPr>
        <w:pStyle w:val="ListBullet"/>
        <w:jc w:val="both"/>
      </w:pPr>
      <w:r>
        <w:rPr>
          <w:rFonts w:ascii="Calibri" w:hAnsi="Calibri"/>
          <w:sz w:val="22"/>
        </w:rPr>
        <w:t>RQ2 — How do regularised linear, tree-ensemble, and modern tabular deep-learning architectures compare on green-loan data when measured on PR-AUC, ROC-AUC, KS, Brier score, Expected Calibration Error, and recall@top-decile, and how do those differences persist after post-hoc calibration?</w:t>
      </w:r>
    </w:p>
    <w:p>
      <w:pPr>
        <w:pStyle w:val="ListBullet"/>
        <w:jc w:val="both"/>
      </w:pPr>
      <w:r>
        <w:rPr>
          <w:rFonts w:ascii="Calibri" w:hAnsi="Calibri"/>
          <w:sz w:val="22"/>
        </w:rPr>
        <w:t>RQ3 — How robust and fair are the candidate models across industry, geography, and business-size segments, and to what extent does the chosen explainability stack produce attributions that are faithful, stable, and counterfactually actionable?</w:t>
      </w:r>
    </w:p>
    <w:p>
      <w:pPr>
        <w:pStyle w:val="ListBullet"/>
        <w:jc w:val="both"/>
      </w:pPr>
      <w:r>
        <w:rPr>
          <w:rFonts w:ascii="Calibri" w:hAnsi="Calibri"/>
          <w:sz w:val="22"/>
        </w:rPr>
        <w:t>RQ4 — Does the EMERALD-AI web application effectively communicate AI credit-scoring outputs — predictions, conformal intervals, SHAP attributions, and counterfactual recourses — to non-technical lending stakeholders in a manner consistent with EU AI Act Article 13 transparency obligations?</w:t>
      </w:r>
    </w:p>
    <w:p>
      <w:r>
        <w:br w:type="page"/>
      </w:r>
    </w:p>
    <w:p>
      <w:pPr>
        <w:pStyle w:val="Heading1"/>
      </w:pPr>
      <w:r>
        <w:rPr>
          <w:color w:val="1F3A2E"/>
        </w:rPr>
        <w:t>4. Literature Review</w:t>
      </w:r>
    </w:p>
    <w:p>
      <w:pPr>
        <w:pStyle w:val="Heading2"/>
      </w:pPr>
      <w:r>
        <w:rPr>
          <w:color w:val="1F3A2E"/>
        </w:rPr>
        <w:t>4.1 The Evolution of Credit Scoring: From Discriminant Analysis to Statistical Learning</w:t>
      </w:r>
    </w:p>
    <w:p>
      <w:pPr>
        <w:jc w:val="both"/>
      </w:pPr>
      <w:r>
        <w:rPr>
          <w:rFonts w:ascii="Calibri" w:hAnsi="Calibri"/>
          <w:sz w:val="22"/>
        </w:rPr>
        <w:t>Modern credit scoring traces its lineage to Altman's Z-score [Altman, 1968] and Beaver's univariate ratio analyses [Beaver, 1966], later formalised through linear discriminant analysis and, eventually, logistic regression — which has remained the regulatory default for over four decades owing to its monotonicity, sparsity, and direct mapping to odds and points-based scorecards [Hand and Henley, 1997; Thomas, 2000]. The migration to non-parametric learning began with neural networks and SVMs in the late 1990s, but adoption stalled on opacity grounds: regulators viewed black-box models as incompatible with the right-to-explanation regimes embedded in ECOA, GDPR Article 22, and Basel risk-weight reporting. Baesens et al. (2003) carried out one of the first systematic comparative evaluations of classification algorithms on real credit datasets, demonstrating that neural networks and SVMs consistently outperformed logistic regression. Lessmann et al. (2015) extended this benchmark to 41 classifiers across eight credit datasets and established two findings that still shape the field: heterogeneous ensemble methods (random forest, gradient boosting, stacking) dominate single learners, and the marginal accuracy gains from architectural sophistication shrink as datasets grow. Dumitrescu et al. (2022) recently demonstrated that interpretable logistic regression augmented with explicit tree-derived interaction terms can close most of the gap to XGBoost — reframing the explainability/accuracy trade-off as a design choice rather than a fixed frontier.</w:t>
      </w:r>
    </w:p>
    <w:p>
      <w:pPr>
        <w:pStyle w:val="Heading2"/>
      </w:pPr>
      <w:r>
        <w:rPr>
          <w:color w:val="1F3A2E"/>
        </w:rPr>
        <w:t>4.2 Gradient-Boosted Decision Trees as the Tabular State of the Art</w:t>
      </w:r>
    </w:p>
    <w:p>
      <w:pPr>
        <w:jc w:val="both"/>
      </w:pPr>
      <w:r>
        <w:rPr>
          <w:rFonts w:ascii="Calibri" w:hAnsi="Calibri"/>
          <w:sz w:val="22"/>
        </w:rPr>
        <w:t>For heterogeneous tabular data with mixed-type features, missing values, and moderate scale (10³–10⁶ rows), gradient-boosted decision trees (GBDT) have been the consistent empirical winner. XGBoost [Chen and Guestrin, 2016] introduced second-order Newton boosting with L1/L2 regularisation and sparsity-aware split finding; LightGBM [Ke et al., 2017] added histogram-based binning and leaf-wise growth for order-of-magnitude training speedups; CatBoost [Prokhorenkova et al., 2018] introduced ordered boosting and target-statistics encoding that eliminate the prediction-shift bias arising from naive target encoding. Independent benchmarks consistently rank GBDTs at parity with — and often above — deep tabular architectures on classification problems of the scale considered here [Shwartz-Ziv and Armon, 2022; Grinsztajn et al., 2022]. Two properties make GBDTs particularly well-suited to credit risk: (i) native support for monotonic constraints, which let modellers enforce the directionality of features (e.g., higher credit score must not decrease creditworthiness probability) that regulators increasingly demand; and (ii) integration with TreeSHAP [Lundberg et al., 2020], which yields exact Shapley attributions in polynomial time — making per-decision explanations cheap enough to ship in production.</w:t>
      </w:r>
    </w:p>
    <w:p>
      <w:pPr>
        <w:pStyle w:val="Heading2"/>
      </w:pPr>
      <w:r>
        <w:rPr>
          <w:color w:val="1F3A2E"/>
        </w:rPr>
        <w:t>4.3 Tabular Deep Learning: Promise, Pitfalls, and Recent Advances</w:t>
      </w:r>
    </w:p>
    <w:p>
      <w:pPr>
        <w:jc w:val="both"/>
      </w:pPr>
      <w:r>
        <w:rPr>
          <w:rFonts w:ascii="Calibri" w:hAnsi="Calibri"/>
          <w:sz w:val="22"/>
        </w:rPr>
        <w:t>The push to extend deep learning's vision and language successes to tabular data has produced a rapidly evolving family of architectures. TabNet [Arik and Pfister, 2021] introduced sequential attention with sparse feature masks that double as built-in feature attribution; FT-Transformer [Gorishniy et al., 2021] adapted the Transformer encoder to tabular features via feature-tokenisation; SAINT [Somepalli et al., 2021] combined row- and column-attention with contrastive pre-training; NODE [Popov et al., 2020] built differentiable oblivious decision-tree ensembles trainable end-to-end. The empirical picture, however, is more sober: on most public benchmarks of moderate size these architectures fail to beat well-tuned GBDTs [Borisov et al., 2022; Grinsztajn et al., 2022]. Deep tabular models earn their keep in specific regimes — very large datasets, the presence of high-cardinality categoricals where learned embeddings outperform target encoding, and multi-task or self-supervised pre-training scenarios where representation transfer matters. For green credit scoring at the scale of approximately 14,000 transactions, this dissertation includes a tuned FT-Transformer and MLP as honest comparators while resisting the temptation to over-claim deep learning's necessity.</w:t>
      </w:r>
    </w:p>
    <w:p>
      <w:pPr>
        <w:pStyle w:val="Heading2"/>
      </w:pPr>
      <w:r>
        <w:rPr>
          <w:color w:val="1F3A2E"/>
        </w:rPr>
        <w:t>4.4 Class Imbalance, Calibration, and Uncertainty in Credit Risk</w:t>
      </w:r>
    </w:p>
    <w:p>
      <w:pPr>
        <w:jc w:val="both"/>
      </w:pPr>
      <w:r>
        <w:rPr>
          <w:rFonts w:ascii="Calibri" w:hAnsi="Calibri"/>
          <w:sz w:val="22"/>
        </w:rPr>
        <w:t>Credit-default datasets are intrinsically imbalanced — typical positive (default) prevalence in well-underwritten portfolios sits in the 2–15% range. Naive training on imbalanced data produces classifiers that minimise overall error but underperform on the minority class that drives loss. Standard interventions include resampling (SMOTE [Chawla et al., 2002], SMOTE-NC for mixed types, ADASYN [He et al., 2008]), cost-sensitive loss reweighting, and focal loss [Lin et al., 2017]. Critically, resampling must occur strictly inside cross-validation folds to prevent test-set contamination — a methodological mistake that is widespread in published credit-scoring work [Santos et al., 2018]. A separate and often-overlooked concern is calibration: a model can rank applicants correctly (high AUC) while producing systematically biased probability estimates, which breaks expected-loss pricing, capital provisioning, and regulatory probability-of-default reporting under the Internal Ratings-Based approach. Platt scaling [Platt, 1999], isotonic regression [Zadrozny and Elkan, 2002], temperature scaling, and conformal prediction [Vovk et al., 2005; Angelopoulos and Bates, 2023] provide post-hoc calibration and distribution-free uncertainty quantification respectively, and are largely absent from existing green-credit literature. EMERALD-AI treats both as mandatory pipeline stages.</w:t>
      </w:r>
    </w:p>
    <w:p>
      <w:pPr>
        <w:pStyle w:val="Heading2"/>
      </w:pPr>
      <w:r>
        <w:rPr>
          <w:color w:val="1F3A2E"/>
        </w:rPr>
        <w:t>4.5 Green Finance, ESG Risk, and the Specificity of Sustainable Lending</w:t>
      </w:r>
    </w:p>
    <w:p>
      <w:pPr>
        <w:jc w:val="both"/>
      </w:pPr>
      <w:r>
        <w:rPr>
          <w:rFonts w:ascii="Calibri" w:hAnsi="Calibri"/>
          <w:sz w:val="22"/>
        </w:rPr>
        <w:t>Sustainable lending differs from conventional consumer or commercial credit along three structural dimensions that current scorecards under-model. First, the cash-flow profile of green-purposed assets — solar PV, building retrofits, EV fleets — is back-loaded and policy-sensitive, exposing lenders to long-horizon regulatory and technology risk that linear repayment history does not capture [Flammer, 2021; Tang and Zhang, 2020]. Second, green loans carry a non-financial reputational tail: greenwashing exposure can crystallise into both regulatory penalty (EU Taxonomy disclosure, SFDR) and franchise damage that materially affects loss-given-default outside the borrower's own balance sheet [Ehlers and Packer, 2017]. Third, what counts as 'green' is heterogeneous across jurisdictions and evolving — the EU Taxonomy [European Commission, 2020], the Climate Bonds Standard [CBI, 2023], and emerging national taxonomies each define eligibility differently, introducing label noise into any portfolio assembled across regulatory regimes. ESG scores themselves exhibit substantial inter-rater disagreement [Berg et al., 2022], making them unreliable as direct features. To date no published work has built a credit-scoring framework that engages with all three structural specifics on real green-loan transaction data.</w:t>
      </w:r>
    </w:p>
    <w:p>
      <w:pPr>
        <w:pStyle w:val="Heading2"/>
      </w:pPr>
      <w:r>
        <w:rPr>
          <w:color w:val="1F3A2E"/>
        </w:rPr>
        <w:t>4.6 Explainable AI in High-Stakes Finance</w:t>
      </w:r>
    </w:p>
    <w:p>
      <w:pPr>
        <w:jc w:val="both"/>
      </w:pPr>
      <w:r>
        <w:rPr>
          <w:rFonts w:ascii="Calibri" w:hAnsi="Calibri"/>
          <w:sz w:val="22"/>
        </w:rPr>
        <w:t>Explainability in ML credit scoring is not a single technique but a stack of complementary tools, each addressing a different audit question. Global feature attribution (permutation importance, mean |SHAP|) answers ‘what does the model rely on at the portfolio level?’; local attribution (LIME [Ribeiro et al., 2016], TreeSHAP) answers ‘why did this borrower receive this score?’; counterfactual explanations (DiCE [Mothilal et al., 2020], Wachter-style counterfactuals [Wachter et al., 2017]) answer ‘what would the borrower need to change to be approved?’ — the form regulators and consumer-advocacy bodies increasingly favour because it is actionable. SHAP's appeal derives from its grounding in cooperative game theory: it is the unique attribution method satisfying local accuracy, missingness, and consistency [Lundberg and Lee, 2017]. Critical perspectives, however, are growing. Feature attribution can be misleading under feature correlation [Aas et al., 2021; Janzing et al., 2020]; counterfactuals can be unstable [Rawal and Lakkaraju, 2020]; and post-hoc explanations of opaque models can be deliberately manipulated to hide bias [Slack et al., 2020]. Rudin (2019) goes further and argues that for high-stakes decisions, inherently interpretable models (constrained additive models, sparse decision lists) should be preferred over post-hoc explanations of opaque ones. EMERALD-AI takes the pragmatic middle path: it deploys a constrained tree ensemble whose structure is itself inspectable, and layers a multi-method explanation stack (TreeSHAP + KernelSHAP cross-check + counterfactuals + monotonic-constraint verification) rather than relying on a single attribution mechanism. Explanation faithfulness is itself empirically validated via the Quantus toolkit [Hedström et al., 2023].</w:t>
      </w:r>
    </w:p>
    <w:p>
      <w:pPr>
        <w:pStyle w:val="Heading2"/>
      </w:pPr>
      <w:r>
        <w:rPr>
          <w:color w:val="1F3A2E"/>
        </w:rPr>
        <w:t>4.7 Fairness, Robustness, and Regulatory Compliance</w:t>
      </w:r>
    </w:p>
    <w:p>
      <w:pPr>
        <w:jc w:val="both"/>
      </w:pPr>
      <w:r>
        <w:rPr>
          <w:rFonts w:ascii="Calibri" w:hAnsi="Calibri"/>
          <w:sz w:val="22"/>
        </w:rPr>
        <w:t>Fairness in credit scoring is operationalised through statistical parity, equalised odds [Hardt et al., 2016], predictive parity, and calibration within groups — definitions that are provably incompatible in non-trivial cases [Chouldechova, 2017; Kleinberg et al., 2017], forcing modellers to choose which parity criterion best fits the deployment context. In the green lending case, protected attributes (race, gender) are not directly available, but proxies (industry, geography, business size) can produce indirect disparate impact testable under ECOA and equivalent UK regulation. The EU AI Act [European Commission, 2021] classifies credit scoring as Annex III high-risk, triggering obligations around data governance, technical documentation, human oversight, accuracy and robustness logging, and post-market monitoring; the FCA Consumer Duty [FCA, 2022] adds outcome-based fairness obligations; and the EBA Guidelines on Loan Origination and Monitoring [EBA, 2020] require lenders to demonstrate model robustness and explainability. Robustness extends beyond fairness to stability under input perturbation, adversarial input resistance, and concept-drift monitoring [Lu et al., 2018]. EMERALD-AI integrates these audits into the development loop rather than treating them as post-hoc checklists.</w:t>
      </w:r>
    </w:p>
    <w:p>
      <w:pPr>
        <w:pStyle w:val="Heading2"/>
      </w:pPr>
      <w:r>
        <w:rPr>
          <w:color w:val="1F3A2E"/>
        </w:rPr>
        <w:t>4.8 Identified Research Gap and the Positioning of EMERALD-AI</w:t>
      </w:r>
    </w:p>
    <w:p>
      <w:pPr>
        <w:jc w:val="both"/>
      </w:pPr>
      <w:r>
        <w:rPr>
          <w:rFonts w:ascii="Calibri" w:hAnsi="Calibri"/>
          <w:sz w:val="22"/>
        </w:rPr>
        <w:t>Synthesising the four bodies of literature above, the gap is precise: there is no published, empirically validated, regulator-ready ML credit-scoring framework trained on real green-loan transaction data that simultaneously integrates (i) modern tabular learners benchmarked against interpretable baselines under identical preprocessing, (ii) post-hoc calibration and distribution-free uncertainty quantification, (iii) a multi-method explainability stack with empirical fidelity validation, (iv) a fairness and robustness audit appropriate to green lending's industry and geography proxies, and (v) a deployable interface that lets lending officers act on outputs. EMERALD-AI is positioned to occupy this gap end-to-end.</w:t>
      </w:r>
    </w:p>
    <w:p>
      <w:r>
        <w:br w:type="page"/>
      </w:r>
    </w:p>
    <w:p>
      <w:pPr>
        <w:pStyle w:val="Heading1"/>
      </w:pPr>
      <w:r>
        <w:rPr>
          <w:color w:val="1F3A2E"/>
        </w:rPr>
        <w:t>5. Methodology</w:t>
      </w:r>
    </w:p>
    <w:p>
      <w:pPr>
        <w:pStyle w:val="Heading2"/>
      </w:pPr>
      <w:r>
        <w:rPr>
          <w:color w:val="1F3A2E"/>
        </w:rPr>
        <w:t>5.1 Research Design and Epistemological Position</w:t>
      </w:r>
    </w:p>
    <w:p>
      <w:pPr>
        <w:jc w:val="both"/>
      </w:pPr>
      <w:r>
        <w:rPr>
          <w:rFonts w:ascii="Calibri" w:hAnsi="Calibri"/>
          <w:sz w:val="22"/>
        </w:rPr>
        <w:t>EMERALD-AI is a quantitative, post-positivist applied research project structured around the CRISP-DM lifecycle [Wirth and Hipp, 2000] and instantiated as a reproducible, version-controlled MLOps pipeline. It progresses through business understanding (Sections 1–2), data understanding (5.3–5.4), data preparation (5.5–5.7), modelling (5.8–5.9), evaluation (5.10–5.13), and deployment (5.14), with a feedback loop from deployment back to modelling enabling iterative refinement. The unit of analysis is the individual funded green-loan transaction; the inferential target is the conditional probability of creditworthiness given pre-funding observable features.</w:t>
      </w:r>
    </w:p>
    <w:p>
      <w:pPr>
        <w:pStyle w:val="Heading2"/>
      </w:pPr>
      <w:r>
        <w:rPr>
          <w:color w:val="1F3A2E"/>
        </w:rPr>
        <w:t>5.2 Problem Formalisation and Label Construction</w:t>
      </w:r>
    </w:p>
    <w:p>
      <w:pPr>
        <w:jc w:val="both"/>
      </w:pPr>
      <w:r>
        <w:rPr>
          <w:rFonts w:ascii="Calibri" w:hAnsi="Calibri"/>
          <w:sz w:val="22"/>
        </w:rPr>
        <w:t>Let X ∈ ℝ^d denote the feature vector of a green-loan applicant and Y ∈ {0,1} the binary creditworthiness indicator, with Y=1 corresponding to favourable performance (paidOff ∪ current) and Y=0 corresponding to delinquency (default ∪ behind). The estimand is the conditional probability η(x) = ℙ(Y=1 | X=x), approximated by the learned model f̂(x). The Deal Status field provides direct supervision for 14,022 of the 14,135 records (99.2% labelled coverage). Two label-construction risks are explicitly addressed: (i) censoring bias — current loans are right-censored in their observation window and may yet default, biasing the Y=1 class; this is mitigated by a sensitivity analysis that excludes still-active deals from the training distribution and reports performance with and without their inclusion. (ii) Definition leakage — fields populated only after the deal outcome is known (terminal Deal Stage, post-funding adjustment fields) must be excluded from X; the leakage audit (5.3) catalogues every such field.</w:t>
      </w:r>
    </w:p>
    <w:p>
      <w:pPr>
        <w:pStyle w:val="Heading2"/>
      </w:pPr>
      <w:r>
        <w:rPr>
          <w:color w:val="1F3A2E"/>
        </w:rPr>
        <w:t>5.3 Dataset Characterisation and Target-Leakage Audit</w:t>
      </w:r>
    </w:p>
    <w:p>
      <w:pPr>
        <w:jc w:val="both"/>
      </w:pPr>
      <w:r>
        <w:rPr>
          <w:rFonts w:ascii="Calibri" w:hAnsi="Calibri"/>
          <w:sz w:val="22"/>
        </w:rPr>
        <w:t>The 2019 All Funded Green Loan dataset contains 14,135 transactions across 166 columns. Each column is classified into one of six categories: (a) pre-funding applicant attributes (Credit Score, Annual Revenue, Time in Business, Average Monthly Sales, Industry, Borrower State); (b) pre-funding loan-offer attributes (Amount Sought, Amount Funded, APR, Factor Rate, Term, Payback, Commission); (c) loan structural metadata (Lender, Product Type, Current Tier); (d) deal-progression timestamps (Start, Offer Received, Contract Signed, Deal Closed); (e) post-funding observed outcomes (Deal Status, Payments Made, Days Past Due — these define Y and must not enter X); (f) administrative or free-text fields excluded as features. Only categories (a)–(d) enter the feature space. A systematic leakage audit computes each candidate feature's mutual information with Y, restricted to records where the feature is observable strictly before the funding decision; any feature whose informativeness collapses under the strict-temporal filter is dropped. The audit is documented in a feature catalogue committed to the project repository as the principal data-governance artefact.</w:t>
      </w:r>
    </w:p>
    <w:p>
      <w:pPr>
        <w:pStyle w:val="Heading2"/>
      </w:pPr>
      <w:r>
        <w:rPr>
          <w:color w:val="1F3A2E"/>
        </w:rPr>
        <w:t>5.4 Exploratory Data Analysis and Distribution-Shift Diagnostics</w:t>
      </w:r>
    </w:p>
    <w:p>
      <w:pPr>
        <w:jc w:val="both"/>
      </w:pPr>
      <w:r>
        <w:rPr>
          <w:rFonts w:ascii="Calibri" w:hAnsi="Calibri"/>
          <w:sz w:val="22"/>
        </w:rPr>
        <w:t>EDA proceeds in three layers. Univariate analysis produces distributional summaries (mean, median, standard deviation, skewness, kurtosis), Kolmogorov–Smirnov tests against fitted parametric families, and Shannon entropy for categoricals. Bivariate analysis computes Pearson and Spearman correlations, mutual information, and conditional default rates segmented by Industry, Borrower State, and Current Tier — identifying segments with anomalous default frequencies. Multivariate analysis uses PCA and UMAP projections for visual cluster inspection, and variance-inflation-factor (VIF) screening for multicollinearity. Distribution-shift diagnostics stratify the data temporally (Q1–Q4 of 2019) and compute the Population Stability Index (PSI) on each feature across quarters, detecting drift that could compromise model deployment beyond the training window. Class-conditional histograms identify features whose distributional separability suggests predictive value; per-feature ROC provides a one-feature predictive ceiling for sanity-checking later model contributions.</w:t>
      </w:r>
    </w:p>
    <w:p>
      <w:pPr>
        <w:pStyle w:val="Heading2"/>
      </w:pPr>
      <w:r>
        <w:rPr>
          <w:color w:val="1F3A2E"/>
        </w:rPr>
        <w:t>5.5 Preprocessing Pipeline</w:t>
      </w:r>
    </w:p>
    <w:p>
      <w:pPr>
        <w:jc w:val="both"/>
      </w:pPr>
      <w:r>
        <w:rPr>
          <w:rFonts w:ascii="Calibri" w:hAnsi="Calibri"/>
          <w:sz w:val="22"/>
        </w:rPr>
        <w:t>The preprocessing pipeline is built as a scikit-learn ColumnTransformer to guarantee identical transformation at train and inference time and to prevent train–test leakage. Stage 1 — missing-data treatment: features with more than 40% missingness are dropped; for the remainder, median imputation is applied to numerics, an explicit ‘missing’ category is added for categoricals, and missing-indicator binary features are appended where missingness is itself informative (for example, missing Time in Business correlates with newer businesses). Stage 2 — outlier handling: winsorisation at the 1st/99th percentile for unbounded financial features, with sensitivity tests at 0.5/99.5 and no-winsorisation control runs. Stage 3 — encoding: one-hot encoding for low-cardinality categoricals (≤10 levels), target encoding with leave-one-out cross-fitting [Micci-Barreca, 2001] for high-cardinality categoricals (Industry, Borrower State), and frequency encoding for ordinal-like fields. Stage 4 — scaling: StandardScaler for distance-based learners (logistic regression, SVM, MLP) and identity (no scaling) for tree-based learners, which are scale-invariant. Stage 5 — feature interactions: domain-motivated derived features including loan-to-revenue ratio, payback-to-monthly-sales ratio, factor-rate-adjusted APR, and time-to-decision in days.</w:t>
      </w:r>
    </w:p>
    <w:p>
      <w:pPr>
        <w:pStyle w:val="Heading2"/>
      </w:pPr>
      <w:r>
        <w:rPr>
          <w:color w:val="1F3A2E"/>
        </w:rPr>
        <w:t>5.6 Feature Engineering and Selection</w:t>
      </w:r>
    </w:p>
    <w:p>
      <w:pPr>
        <w:jc w:val="both"/>
      </w:pPr>
      <w:r>
        <w:rPr>
          <w:rFonts w:ascii="Calibri" w:hAnsi="Calibri"/>
          <w:sz w:val="22"/>
        </w:rPr>
        <w:t>A two-stage selection protocol is applied. Stage 1 is a filter: mutual-information ranking against Y, with the bottom decile dropped. Stage 2 is a wrapper: Boruta with shadow-feature null distribution [Kursa and Rudnicki, 2010] using a Random Forest oracle, run in parallel with a SHAP-importance ranking on a tuned XGBoost; features are required to clear both thresholds. The intersection produces a parsimonious feature set (target: 15–25 features) that maximises performance subject to interpretability. Stability of the selected set is verified by repeating Stage 2 across 30 bootstrap resamples and reporting the selection-frequency distribution; features selected in fewer than 60% of bootstraps are dropped as unstable. The original 12-feature shortlist used in the supervisor draft is included as a benchmark to confirm or supersede.</w:t>
      </w:r>
    </w:p>
    <w:p>
      <w:pPr>
        <w:pStyle w:val="Heading2"/>
      </w:pPr>
      <w:r>
        <w:rPr>
          <w:color w:val="1F3A2E"/>
        </w:rPr>
        <w:t>5.7 Class Imbalance Strategy</w:t>
      </w:r>
    </w:p>
    <w:p>
      <w:pPr>
        <w:jc w:val="both"/>
      </w:pPr>
      <w:r>
        <w:rPr>
          <w:rFonts w:ascii="Calibri" w:hAnsi="Calibri"/>
          <w:sz w:val="22"/>
        </w:rPr>
        <w:t>Three balancing strategies are compared head-to-head on a held-out validation fold: (i) class-weighted loss (no resampling; scale_pos_weight for XGBoost, class_weight='balanced' for sklearn learners); (ii) SMOTE-NC [Chawla et al., 2002] for mixed numeric/categorical data, applied strictly inside each training fold during cross-validation; (iii) focal loss [Lin et al., 2017] for the neural baselines. The strategy minimising the joint PR-AUC × calibration-error objective on validation is adopted per model family. Resampling is never applied to validation or test folds.</w:t>
      </w:r>
    </w:p>
    <w:p>
      <w:pPr>
        <w:pStyle w:val="Heading2"/>
      </w:pPr>
      <w:r>
        <w:rPr>
          <w:color w:val="1F3A2E"/>
        </w:rPr>
        <w:t>5.8 Model Architectures</w:t>
      </w:r>
    </w:p>
    <w:p>
      <w:pPr>
        <w:jc w:val="both"/>
      </w:pPr>
      <w:r>
        <w:rPr>
          <w:rFonts w:ascii="Calibri" w:hAnsi="Calibri"/>
          <w:i/>
          <w:sz w:val="22"/>
        </w:rPr>
        <w:t>Six classifiers are trained, organised into three families for controlled comparison.</w:t>
      </w:r>
    </w:p>
    <w:p>
      <w:pPr>
        <w:jc w:val="both"/>
      </w:pPr>
      <w:r>
        <w:rPr>
          <w:rFonts w:ascii="Calibri" w:hAnsi="Calibri"/>
          <w:b/>
          <w:sz w:val="22"/>
        </w:rPr>
        <w:t>Baseline (linear, regulatory-default class):</w:t>
      </w:r>
    </w:p>
    <w:p>
      <w:pPr>
        <w:pStyle w:val="ListBullet"/>
        <w:jc w:val="both"/>
      </w:pPr>
      <w:r>
        <w:rPr>
          <w:rFonts w:ascii="Calibri" w:hAnsi="Calibri"/>
          <w:sz w:val="22"/>
        </w:rPr>
        <w:t>L1- and L2-regularised Logistic Regression with monotonic priors on directionally constrained features.</w:t>
      </w:r>
    </w:p>
    <w:p>
      <w:pPr>
        <w:pStyle w:val="ListBullet"/>
        <w:jc w:val="both"/>
      </w:pPr>
      <w:r>
        <w:rPr>
          <w:rFonts w:ascii="Calibri" w:hAnsi="Calibri"/>
          <w:sz w:val="22"/>
        </w:rPr>
        <w:t>Kernel SVM (RBF), included as a non-linear shallow learner — historically dominant in early credit-scoring ML literature [Baesens et al., 2003] and a useful sanity check.</w:t>
      </w:r>
    </w:p>
    <w:p>
      <w:pPr>
        <w:jc w:val="both"/>
      </w:pPr>
      <w:r>
        <w:rPr>
          <w:rFonts w:ascii="Calibri" w:hAnsi="Calibri"/>
          <w:b/>
          <w:sz w:val="22"/>
        </w:rPr>
        <w:t>Tree ensembles (expected state of the art):</w:t>
      </w:r>
    </w:p>
    <w:p>
      <w:pPr>
        <w:pStyle w:val="ListBullet"/>
        <w:jc w:val="both"/>
      </w:pPr>
      <w:r>
        <w:rPr>
          <w:rFonts w:ascii="Calibri" w:hAnsi="Calibri"/>
          <w:sz w:val="22"/>
        </w:rPr>
        <w:t>Random Forest [Breiman, 2001] as a variance-reduction ensemble baseline.</w:t>
      </w:r>
    </w:p>
    <w:p>
      <w:pPr>
        <w:pStyle w:val="ListBullet"/>
        <w:jc w:val="both"/>
      </w:pPr>
      <w:r>
        <w:rPr>
          <w:rFonts w:ascii="Calibri" w:hAnsi="Calibri"/>
          <w:sz w:val="22"/>
        </w:rPr>
        <w:t>XGBoost [Chen and Guestrin, 2016] as the primary candidate, with monotonic constraints on Credit Score, Annual Revenue, and Time in Business.</w:t>
      </w:r>
    </w:p>
    <w:p>
      <w:pPr>
        <w:pStyle w:val="ListBullet"/>
        <w:jc w:val="both"/>
      </w:pPr>
      <w:r>
        <w:rPr>
          <w:rFonts w:ascii="Calibri" w:hAnsi="Calibri"/>
          <w:sz w:val="22"/>
        </w:rPr>
        <w:t>LightGBM [Ke et al., 2017] and CatBoost [Prokhorenkova et al., 2018] as alternative GBDT implementations whose differing bias profiles serve as cross-validation against single-implementation idiosyncrasies.</w:t>
      </w:r>
    </w:p>
    <w:p>
      <w:pPr>
        <w:jc w:val="both"/>
      </w:pPr>
      <w:r>
        <w:rPr>
          <w:rFonts w:ascii="Calibri" w:hAnsi="Calibri"/>
          <w:b/>
          <w:sz w:val="22"/>
        </w:rPr>
        <w:t>Tabular deep learning:</w:t>
      </w:r>
    </w:p>
    <w:p>
      <w:pPr>
        <w:pStyle w:val="ListBullet"/>
        <w:jc w:val="both"/>
      </w:pPr>
      <w:r>
        <w:rPr>
          <w:rFonts w:ascii="Calibri" w:hAnsi="Calibri"/>
          <w:sz w:val="22"/>
        </w:rPr>
        <w:t>Multi-Layer Perceptron with batch normalisation and dropout, trained with focal loss.</w:t>
      </w:r>
    </w:p>
    <w:p>
      <w:pPr>
        <w:pStyle w:val="ListBullet"/>
        <w:jc w:val="both"/>
      </w:pPr>
      <w:r>
        <w:rPr>
          <w:rFonts w:ascii="Calibri" w:hAnsi="Calibri"/>
          <w:sz w:val="22"/>
        </w:rPr>
        <w:t>FT-Transformer [Gorishniy et al., 2021] with feature-tokenisation and 4 attention blocks — the strongest single tabular DL architecture in recent independent benchmarks.</w:t>
      </w:r>
    </w:p>
    <w:p>
      <w:pPr>
        <w:jc w:val="both"/>
      </w:pPr>
      <w:r>
        <w:rPr>
          <w:rFonts w:ascii="Calibri" w:hAnsi="Calibri"/>
          <w:sz w:val="22"/>
        </w:rPr>
        <w:t>All models share an identical preprocessing pipeline (Section 5.5) so that differences reflect inductive bias rather than leakage or transformation drift between conditions.</w:t>
      </w:r>
    </w:p>
    <w:p>
      <w:pPr>
        <w:pStyle w:val="Heading2"/>
      </w:pPr>
      <w:r>
        <w:rPr>
          <w:color w:val="1F3A2E"/>
        </w:rPr>
        <w:t>5.9 Training Protocol: Nested Cross-Validation and Bayesian Optimisation</w:t>
      </w:r>
    </w:p>
    <w:p>
      <w:pPr>
        <w:jc w:val="both"/>
      </w:pPr>
      <w:r>
        <w:rPr>
          <w:rFonts w:ascii="Calibri" w:hAnsi="Calibri"/>
          <w:sz w:val="22"/>
        </w:rPr>
        <w:t>Hyperparameter selection and performance estimation use 5×10 nested stratified k-fold cross-validation. The outer 10-fold loop estimates generalisation performance; the inner 5-fold loop performs hyperparameter optimisation via Optuna's Tree-structured Parzen Estimator [Akiba et al., 2019] with 100 trials per model per outer fold and HyperBand pruning to early-stop unpromising trials. Stratification is on the binary target. Fold splits are seeded and persisted, and the identical splits are used across all six model families to ensure paired comparisons. Statistical comparison of model AUCs uses DeLong's test [DeLong et al., 1988]; for calibration error and PR-AUC, paired bootstrap with 10,000 resamples produces 95% confidence intervals and one-sided p-values. The previous draft's flat 10-fold protocol is preserved as a benchmark and explicitly compared with the nested protocol to demonstrate the difference.</w:t>
      </w:r>
    </w:p>
    <w:p>
      <w:pPr>
        <w:pStyle w:val="Heading2"/>
      </w:pPr>
      <w:r>
        <w:rPr>
          <w:color w:val="1F3A2E"/>
        </w:rPr>
        <w:t>5.10 Probability Calibration and Uncertainty Quantification</w:t>
      </w:r>
    </w:p>
    <w:p>
      <w:pPr>
        <w:jc w:val="both"/>
      </w:pPr>
      <w:r>
        <w:rPr>
          <w:rFonts w:ascii="Calibri" w:hAnsi="Calibri"/>
          <w:sz w:val="22"/>
        </w:rPr>
        <w:t>Even well-discriminating models are routinely mis-calibrated. For each candidate model, calibration is assessed pre-intervention via reliability diagrams, Brier score, and Expected Calibration Error (ECE) with 15 equal-frequency bins. Three calibration techniques are then compared on a held-out calibration fold: Platt scaling [Platt, 1999]; isotonic regression [Zadrozny and Elkan, 2002]; and temperature scaling for the neural learners. The selected calibrator is fit on a dedicated calibration split disjoint from both training and test. For deployment-time uncertainty, split-conformal prediction [Vovk et al., 2005; Angelopoulos and Bates, 2023] generates per-applicant prediction intervals with guaranteed marginal coverage at user-specified confidence levels (90%, 95%), without distributional assumptions — a property the FCA and EBA increasingly cite as best practice for high-risk AI.</w:t>
      </w:r>
    </w:p>
    <w:p>
      <w:pPr>
        <w:pStyle w:val="Heading2"/>
      </w:pPr>
      <w:r>
        <w:rPr>
          <w:color w:val="1F3A2E"/>
        </w:rPr>
        <w:t>5.11 Explainability Framework</w:t>
      </w:r>
    </w:p>
    <w:p>
      <w:pPr>
        <w:jc w:val="both"/>
      </w:pPr>
      <w:r>
        <w:rPr>
          <w:rFonts w:ascii="Calibri" w:hAnsi="Calibri"/>
          <w:i/>
          <w:sz w:val="22"/>
        </w:rPr>
        <w:t>EMERALD-AI integrates a three-layer explainability stack: global, local, and counterfactual.</w:t>
      </w:r>
    </w:p>
    <w:p>
      <w:pPr>
        <w:jc w:val="both"/>
      </w:pPr>
      <w:r>
        <w:rPr>
          <w:rFonts w:ascii="Calibri" w:hAnsi="Calibri"/>
          <w:sz w:val="22"/>
        </w:rPr>
        <w:t>Global. TreeSHAP mean-|φ| feature importance, SHAP interaction values to quantify second-order feature dependencies, partial-dependence (PDP) and accumulated-local-effects (ALE) plots for non-linear marginal responses, and monotonicity verification on the constrained features.</w:t>
      </w:r>
    </w:p>
    <w:p>
      <w:pPr>
        <w:jc w:val="both"/>
      </w:pPr>
      <w:r>
        <w:rPr>
          <w:rFonts w:ascii="Calibri" w:hAnsi="Calibri"/>
          <w:sz w:val="22"/>
        </w:rPr>
        <w:t>Local. Per-applicant TreeSHAP attributions surfaced as a waterfall chart in the web application, with a KernelSHAP cross-check on a 200-applicant sample to validate that TreeSHAP attributions do not diverge under feature-dependence assumptions [Aas et al., 2021], and LIME [Ribeiro et al., 2016] as a perturbation-based secondary explanation.</w:t>
      </w:r>
    </w:p>
    <w:p>
      <w:pPr>
        <w:jc w:val="both"/>
      </w:pPr>
      <w:r>
        <w:rPr>
          <w:rFonts w:ascii="Calibri" w:hAnsi="Calibri"/>
          <w:sz w:val="22"/>
        </w:rPr>
        <w:t>Counterfactual. DiCE [Mothilal et al., 2020] generates the minimal feature changes that would flip a declined applicant to approved — directly addressing the actionability requirement under GDPR Article 22 and the FCA Consumer Duty's ‘support’ outcome. Counterfactuals are constrained to actionable features (excluding, e.g., Borrower State) and tested for plausibility against the training distribution.</w:t>
      </w:r>
    </w:p>
    <w:p>
      <w:pPr>
        <w:jc w:val="both"/>
      </w:pPr>
      <w:r>
        <w:rPr>
          <w:rFonts w:ascii="Calibri" w:hAnsi="Calibri"/>
          <w:sz w:val="22"/>
        </w:rPr>
        <w:t>Explanation fidelity is empirically validated using the Quantus toolkit [Hedström et al., 2023], reporting faithfulness, robustness, and complexity scores for each attribution method — moving beyond the implicit assumption that an explanation is reliable simply because it is generated.</w:t>
      </w:r>
    </w:p>
    <w:p>
      <w:pPr>
        <w:pStyle w:val="Heading2"/>
      </w:pPr>
      <w:r>
        <w:rPr>
          <w:color w:val="1F3A2E"/>
        </w:rPr>
        <w:t>5.12 Fairness, Stability, and Robustness Audit</w:t>
      </w:r>
    </w:p>
    <w:p>
      <w:pPr>
        <w:jc w:val="both"/>
      </w:pPr>
      <w:r>
        <w:rPr>
          <w:rFonts w:ascii="Calibri" w:hAnsi="Calibri"/>
          <w:sz w:val="22"/>
        </w:rPr>
        <w:t>Although the dataset does not contain protected attributes directly, indirect disparate impact is testable on three proxy axes: Industry, Borrower State, and business-size segments. For each axis, four fairness metrics are computed using the AIF360 toolkit [Bellamy et al., 2018]: (i) demographic-parity gap; (ii) equalised-odds gap (TPR and FPR differences across groups); (iii) predictive-parity gap (precision differences); (iv) calibration-within-group via group-stratified reliability diagrams. Disparity exceeding pre-registered thresholds triggers re-training with reweighting [Kamiran and Calders, 2012] or adversarial debiasing [Zhang et al., 2018]. Robustness is assessed via three protocols: (a) input perturbation — Gaussian noise injection at varying SNR for numerics and single-feature category flips for categoricals, reporting prediction-flip rate; (b) leave-one-segment-out validation — training on all industries except one and testing on the held-out industry, estimating transfer; (c) temporal generalisation — training on H1 2019 and testing on H2 2019 with PSI-tracked drift diagnostics.</w:t>
      </w:r>
    </w:p>
    <w:p>
      <w:pPr>
        <w:pStyle w:val="Heading2"/>
      </w:pPr>
      <w:r>
        <w:rPr>
          <w:color w:val="1F3A2E"/>
        </w:rPr>
        <w:t>5.13 Evaluation Metrics</w:t>
      </w:r>
    </w:p>
    <w:p>
      <w:pPr>
        <w:jc w:val="both"/>
      </w:pPr>
      <w:r>
        <w:rPr>
          <w:rFonts w:ascii="Calibri" w:hAnsi="Calibri"/>
          <w:sz w:val="22"/>
        </w:rPr>
        <w:t>The primary metric is PR-AUC, which is robust to class imbalance and aligns with credit decisioning's emphasis on minority-class recall. Secondary metrics: ROC-AUC, Kolmogorov–Smirnov statistic (industry-standard in credit risk), F1 at the operating point, recall@top-decile (regulator-relevant for adverse-action volume estimation), Brier score, Expected Calibration Error, and Matthews Correlation Coefficient. Operating-threshold selection optimises expected loss under a configurable cost matrix encoding the relative costs of false positives (lost good loans) and false negatives (defaults). All results are reported with bootstrap 95% confidence intervals and paired statistical tests across models on identical folds.</w:t>
      </w:r>
    </w:p>
    <w:p>
      <w:pPr>
        <w:pStyle w:val="Heading2"/>
      </w:pPr>
      <w:r>
        <w:rPr>
          <w:color w:val="1F3A2E"/>
        </w:rPr>
        <w:t>5.14 Web Application and MLOps Architecture</w:t>
      </w:r>
    </w:p>
    <w:p>
      <w:pPr>
        <w:jc w:val="both"/>
      </w:pPr>
      <w:r>
        <w:rPr>
          <w:rFonts w:ascii="Calibri" w:hAnsi="Calibri"/>
          <w:sz w:val="22"/>
        </w:rPr>
        <w:t>EMERALD-AI is operationalised as a containerised microservice stack:</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Layer</w:t>
            </w:r>
          </w:p>
        </w:tc>
        <w:tc>
          <w:tcPr>
            <w:tcW w:type="dxa" w:w="3173"/>
          </w:tcPr>
          <w:p>
            <w:r>
              <w:rPr>
                <w:b/>
                <w:sz w:val="20"/>
              </w:rPr>
              <w:t>Technology</w:t>
            </w:r>
          </w:p>
        </w:tc>
        <w:tc>
          <w:tcPr>
            <w:tcW w:type="dxa" w:w="3173"/>
          </w:tcPr>
          <w:p>
            <w:r>
              <w:rPr>
                <w:b/>
                <w:sz w:val="20"/>
              </w:rPr>
              <w:t>Function</w:t>
            </w:r>
          </w:p>
        </w:tc>
      </w:tr>
      <w:tr>
        <w:tc>
          <w:tcPr>
            <w:tcW w:type="dxa" w:w="3173"/>
          </w:tcPr>
          <w:p>
            <w:r>
              <w:rPr>
                <w:sz w:val="20"/>
              </w:rPr>
              <w:t>Model Registry</w:t>
            </w:r>
          </w:p>
        </w:tc>
        <w:tc>
          <w:tcPr>
            <w:tcW w:type="dxa" w:w="3173"/>
          </w:tcPr>
          <w:p>
            <w:r>
              <w:rPr>
                <w:sz w:val="20"/>
              </w:rPr>
              <w:t>MLflow</w:t>
            </w:r>
          </w:p>
        </w:tc>
        <w:tc>
          <w:tcPr>
            <w:tcW w:type="dxa" w:w="3173"/>
          </w:tcPr>
          <w:p>
            <w:r>
              <w:rPr>
                <w:sz w:val="20"/>
              </w:rPr>
              <w:t>Versioning of trained models, metrics, artefacts, and preprocessing transformers</w:t>
            </w:r>
          </w:p>
        </w:tc>
      </w:tr>
      <w:tr>
        <w:tc>
          <w:tcPr>
            <w:tcW w:type="dxa" w:w="3173"/>
          </w:tcPr>
          <w:p>
            <w:r>
              <w:rPr>
                <w:sz w:val="20"/>
              </w:rPr>
              <w:t>Backend API</w:t>
            </w:r>
          </w:p>
        </w:tc>
        <w:tc>
          <w:tcPr>
            <w:tcW w:type="dxa" w:w="3173"/>
          </w:tcPr>
          <w:p>
            <w:r>
              <w:rPr>
                <w:sz w:val="20"/>
              </w:rPr>
              <w:t>Python • FastAPI • Uvicorn • Pydantic</w:t>
            </w:r>
          </w:p>
        </w:tc>
        <w:tc>
          <w:tcPr>
            <w:tcW w:type="dxa" w:w="3173"/>
          </w:tcPr>
          <w:p>
            <w:r>
              <w:rPr>
                <w:sz w:val="20"/>
              </w:rPr>
              <w:t>REST endpoints: /score, /batch_score, /explain, /counterfactual, /portfolio, /fairness_audit, /healthz</w:t>
            </w:r>
          </w:p>
        </w:tc>
      </w:tr>
      <w:tr>
        <w:tc>
          <w:tcPr>
            <w:tcW w:type="dxa" w:w="3173"/>
          </w:tcPr>
          <w:p>
            <w:r>
              <w:rPr>
                <w:sz w:val="20"/>
              </w:rPr>
              <w:t>ML Runtime</w:t>
            </w:r>
          </w:p>
        </w:tc>
        <w:tc>
          <w:tcPr>
            <w:tcW w:type="dxa" w:w="3173"/>
          </w:tcPr>
          <w:p>
            <w:r>
              <w:rPr>
                <w:sz w:val="20"/>
              </w:rPr>
              <w:t>scikit-learn • XGBoost • LightGBM • SHAP • DiCE • joblib</w:t>
            </w:r>
          </w:p>
        </w:tc>
        <w:tc>
          <w:tcPr>
            <w:tcW w:type="dxa" w:w="3173"/>
          </w:tcPr>
          <w:p>
            <w:r>
              <w:rPr>
                <w:sz w:val="20"/>
              </w:rPr>
              <w:t>Inference, SHAP attribution, counterfactual generation, conformal interval computation</w:t>
            </w:r>
          </w:p>
        </w:tc>
      </w:tr>
      <w:tr>
        <w:tc>
          <w:tcPr>
            <w:tcW w:type="dxa" w:w="3173"/>
          </w:tcPr>
          <w:p>
            <w:r>
              <w:rPr>
                <w:sz w:val="20"/>
              </w:rPr>
              <w:t>Frontend SPA</w:t>
            </w:r>
          </w:p>
        </w:tc>
        <w:tc>
          <w:tcPr>
            <w:tcW w:type="dxa" w:w="3173"/>
          </w:tcPr>
          <w:p>
            <w:r>
              <w:rPr>
                <w:sz w:val="20"/>
              </w:rPr>
              <w:t>React 18 • Vite • TypeScript • TanStack Query • Recharts</w:t>
            </w:r>
          </w:p>
        </w:tc>
        <w:tc>
          <w:tcPr>
            <w:tcW w:type="dxa" w:w="3173"/>
          </w:tcPr>
          <w:p>
            <w:r>
              <w:rPr>
                <w:sz w:val="20"/>
              </w:rPr>
              <w:t>Four pages: Portfolio Dashboard, Single Predict, Batch Score, SHAP Explorer</w:t>
            </w:r>
          </w:p>
        </w:tc>
      </w:tr>
      <w:tr>
        <w:tc>
          <w:tcPr>
            <w:tcW w:type="dxa" w:w="3173"/>
          </w:tcPr>
          <w:p>
            <w:r>
              <w:rPr>
                <w:sz w:val="20"/>
              </w:rPr>
              <w:t>Monitoring</w:t>
            </w:r>
          </w:p>
        </w:tc>
        <w:tc>
          <w:tcPr>
            <w:tcW w:type="dxa" w:w="3173"/>
          </w:tcPr>
          <w:p>
            <w:r>
              <w:rPr>
                <w:sz w:val="20"/>
              </w:rPr>
              <w:t>Prometheus • Grafana • Evidently</w:t>
            </w:r>
          </w:p>
        </w:tc>
        <w:tc>
          <w:tcPr>
            <w:tcW w:type="dxa" w:w="3173"/>
          </w:tcPr>
          <w:p>
            <w:r>
              <w:rPr>
                <w:sz w:val="20"/>
              </w:rPr>
              <w:t>Input-feature and prediction-distribution drift monitoring with PSI thresholds and alerting</w:t>
            </w:r>
          </w:p>
        </w:tc>
      </w:tr>
      <w:tr>
        <w:tc>
          <w:tcPr>
            <w:tcW w:type="dxa" w:w="3173"/>
          </w:tcPr>
          <w:p>
            <w:r>
              <w:rPr>
                <w:sz w:val="20"/>
              </w:rPr>
              <w:t>Containerisation</w:t>
            </w:r>
          </w:p>
        </w:tc>
        <w:tc>
          <w:tcPr>
            <w:tcW w:type="dxa" w:w="3173"/>
          </w:tcPr>
          <w:p>
            <w:r>
              <w:rPr>
                <w:sz w:val="20"/>
              </w:rPr>
              <w:t>Docker • docker-compose</w:t>
            </w:r>
          </w:p>
        </w:tc>
        <w:tc>
          <w:tcPr>
            <w:tcW w:type="dxa" w:w="3173"/>
          </w:tcPr>
          <w:p>
            <w:r>
              <w:rPr>
                <w:sz w:val="20"/>
              </w:rPr>
              <w:t>Reproducible local and CI deployment</w:t>
            </w:r>
          </w:p>
        </w:tc>
      </w:tr>
      <w:tr>
        <w:tc>
          <w:tcPr>
            <w:tcW w:type="dxa" w:w="3173"/>
          </w:tcPr>
          <w:p>
            <w:r>
              <w:rPr>
                <w:sz w:val="20"/>
              </w:rPr>
              <w:t>CI/CD</w:t>
            </w:r>
          </w:p>
        </w:tc>
        <w:tc>
          <w:tcPr>
            <w:tcW w:type="dxa" w:w="3173"/>
          </w:tcPr>
          <w:p>
            <w:r>
              <w:rPr>
                <w:sz w:val="20"/>
              </w:rPr>
              <w:t>GitHub Actions</w:t>
            </w:r>
          </w:p>
        </w:tc>
        <w:tc>
          <w:tcPr>
            <w:tcW w:type="dxa" w:w="3173"/>
          </w:tcPr>
          <w:p>
            <w:r>
              <w:rPr>
                <w:sz w:val="20"/>
              </w:rPr>
              <w:t>Lint, type-check, unit and integration tests, automated model-card regeneration on each merge</w:t>
            </w:r>
          </w:p>
        </w:tc>
      </w:tr>
    </w:tbl>
    <w:p>
      <w:pPr>
        <w:jc w:val="both"/>
      </w:pPr>
      <w:r>
        <w:rPr>
          <w:rFonts w:ascii="Calibri" w:hAnsi="Calibri"/>
          <w:sz w:val="22"/>
        </w:rPr>
        <w:t>The Single Predict page renders a structured input form, returns the EMERALD-AI score with its conformal interval, a SHAP waterfall, and one or more counterfactuals (‘what would change this decision?’). The Batch Score page accepts CSV uploads and returns scored output with per-row top-3 SHAP features. The Portfolio Dashboard surfaces real-time aggregated insights with a fairness-audit panel. The SHAP Explorer is the public model-card surface, exposing global feature importance, SHAP interaction matrices, and PDP/ALE plots. All endpoints emit structured logs to enable the post-market monitoring required by EU AI Act Article 61.</w:t>
      </w:r>
    </w:p>
    <w:p>
      <w:pPr>
        <w:pStyle w:val="Heading2"/>
      </w:pPr>
      <w:r>
        <w:rPr>
          <w:color w:val="1F3A2E"/>
        </w:rPr>
        <w:t>5.15 Analytical Tools</w:t>
      </w:r>
    </w:p>
    <w:tbl>
      <w:tblPr>
        <w:tblStyle w:val="LightGrid-Accent1"/>
        <w:tblW w:type="auto" w:w="0"/>
        <w:tblLook w:firstColumn="1" w:firstRow="1" w:lastColumn="0" w:lastRow="0" w:noHBand="0" w:noVBand="1" w:val="04A0"/>
      </w:tblPr>
      <w:tblGrid>
        <w:gridCol w:w="4759"/>
        <w:gridCol w:w="4759"/>
      </w:tblGrid>
      <w:tr>
        <w:tc>
          <w:tcPr>
            <w:tcW w:type="dxa" w:w="4759"/>
          </w:tcPr>
          <w:p>
            <w:r>
              <w:rPr>
                <w:b/>
                <w:sz w:val="20"/>
              </w:rPr>
              <w:t>Tool / Library</w:t>
            </w:r>
          </w:p>
        </w:tc>
        <w:tc>
          <w:tcPr>
            <w:tcW w:type="dxa" w:w="4759"/>
          </w:tcPr>
          <w:p>
            <w:r>
              <w:rPr>
                <w:b/>
                <w:sz w:val="20"/>
              </w:rPr>
              <w:t>Purpose in EMERALD-AI</w:t>
            </w:r>
          </w:p>
        </w:tc>
      </w:tr>
      <w:tr>
        <w:tc>
          <w:tcPr>
            <w:tcW w:type="dxa" w:w="4759"/>
          </w:tcPr>
          <w:p>
            <w:r>
              <w:rPr>
                <w:sz w:val="20"/>
              </w:rPr>
              <w:t>Python 3.11</w:t>
            </w:r>
          </w:p>
        </w:tc>
        <w:tc>
          <w:tcPr>
            <w:tcW w:type="dxa" w:w="4759"/>
          </w:tcPr>
          <w:p>
            <w:r>
              <w:rPr>
                <w:sz w:val="20"/>
              </w:rPr>
              <w:t>Core language for all data processing, modelling, and backend development</w:t>
            </w:r>
          </w:p>
        </w:tc>
      </w:tr>
      <w:tr>
        <w:tc>
          <w:tcPr>
            <w:tcW w:type="dxa" w:w="4759"/>
          </w:tcPr>
          <w:p>
            <w:r>
              <w:rPr>
                <w:sz w:val="20"/>
              </w:rPr>
              <w:t>Pandas • NumPy • Polars</w:t>
            </w:r>
          </w:p>
        </w:tc>
        <w:tc>
          <w:tcPr>
            <w:tcW w:type="dxa" w:w="4759"/>
          </w:tcPr>
          <w:p>
            <w:r>
              <w:rPr>
                <w:sz w:val="20"/>
              </w:rPr>
              <w:t>Data ingestion, cleaning, transformation, and descriptive statistics</w:t>
            </w:r>
          </w:p>
        </w:tc>
      </w:tr>
      <w:tr>
        <w:tc>
          <w:tcPr>
            <w:tcW w:type="dxa" w:w="4759"/>
          </w:tcPr>
          <w:p>
            <w:r>
              <w:rPr>
                <w:sz w:val="20"/>
              </w:rPr>
              <w:t>scikit-learn • imbalanced-learn</w:t>
            </w:r>
          </w:p>
        </w:tc>
        <w:tc>
          <w:tcPr>
            <w:tcW w:type="dxa" w:w="4759"/>
          </w:tcPr>
          <w:p>
            <w:r>
              <w:rPr>
                <w:sz w:val="20"/>
              </w:rPr>
              <w:t>Linear baselines, RF, cross-validation, SMOTE-NC, metrics, calibrators</w:t>
            </w:r>
          </w:p>
        </w:tc>
      </w:tr>
      <w:tr>
        <w:tc>
          <w:tcPr>
            <w:tcW w:type="dxa" w:w="4759"/>
          </w:tcPr>
          <w:p>
            <w:r>
              <w:rPr>
                <w:sz w:val="20"/>
              </w:rPr>
              <w:t>XGBoost • LightGBM • CatBoost</w:t>
            </w:r>
          </w:p>
        </w:tc>
        <w:tc>
          <w:tcPr>
            <w:tcW w:type="dxa" w:w="4759"/>
          </w:tcPr>
          <w:p>
            <w:r>
              <w:rPr>
                <w:sz w:val="20"/>
              </w:rPr>
              <w:t>Gradient-boosted decision tree implementations with monotonic-constraint support</w:t>
            </w:r>
          </w:p>
        </w:tc>
      </w:tr>
      <w:tr>
        <w:tc>
          <w:tcPr>
            <w:tcW w:type="dxa" w:w="4759"/>
          </w:tcPr>
          <w:p>
            <w:r>
              <w:rPr>
                <w:sz w:val="20"/>
              </w:rPr>
              <w:t>PyTorch</w:t>
            </w:r>
          </w:p>
        </w:tc>
        <w:tc>
          <w:tcPr>
            <w:tcW w:type="dxa" w:w="4759"/>
          </w:tcPr>
          <w:p>
            <w:r>
              <w:rPr>
                <w:sz w:val="20"/>
              </w:rPr>
              <w:t>MLP and FT-Transformer training</w:t>
            </w:r>
          </w:p>
        </w:tc>
      </w:tr>
      <w:tr>
        <w:tc>
          <w:tcPr>
            <w:tcW w:type="dxa" w:w="4759"/>
          </w:tcPr>
          <w:p>
            <w:r>
              <w:rPr>
                <w:sz w:val="20"/>
              </w:rPr>
              <w:t>Optuna</w:t>
            </w:r>
          </w:p>
        </w:tc>
        <w:tc>
          <w:tcPr>
            <w:tcW w:type="dxa" w:w="4759"/>
          </w:tcPr>
          <w:p>
            <w:r>
              <w:rPr>
                <w:sz w:val="20"/>
              </w:rPr>
              <w:t>Bayesian hyperparameter optimisation with HyperBand pruning</w:t>
            </w:r>
          </w:p>
        </w:tc>
      </w:tr>
      <w:tr>
        <w:tc>
          <w:tcPr>
            <w:tcW w:type="dxa" w:w="4759"/>
          </w:tcPr>
          <w:p>
            <w:r>
              <w:rPr>
                <w:sz w:val="20"/>
              </w:rPr>
              <w:t>SHAP • DiCE • LIME • Quantus</w:t>
            </w:r>
          </w:p>
        </w:tc>
        <w:tc>
          <w:tcPr>
            <w:tcW w:type="dxa" w:w="4759"/>
          </w:tcPr>
          <w:p>
            <w:r>
              <w:rPr>
                <w:sz w:val="20"/>
              </w:rPr>
              <w:t>Explainability stack and explanation-fidelity validation</w:t>
            </w:r>
          </w:p>
        </w:tc>
      </w:tr>
      <w:tr>
        <w:tc>
          <w:tcPr>
            <w:tcW w:type="dxa" w:w="4759"/>
          </w:tcPr>
          <w:p>
            <w:r>
              <w:rPr>
                <w:sz w:val="20"/>
              </w:rPr>
              <w:t>AIF360</w:t>
            </w:r>
          </w:p>
        </w:tc>
        <w:tc>
          <w:tcPr>
            <w:tcW w:type="dxa" w:w="4759"/>
          </w:tcPr>
          <w:p>
            <w:r>
              <w:rPr>
                <w:sz w:val="20"/>
              </w:rPr>
              <w:t>Fairness metrics and bias-mitigation algorithms</w:t>
            </w:r>
          </w:p>
        </w:tc>
      </w:tr>
      <w:tr>
        <w:tc>
          <w:tcPr>
            <w:tcW w:type="dxa" w:w="4759"/>
          </w:tcPr>
          <w:p>
            <w:r>
              <w:rPr>
                <w:sz w:val="20"/>
              </w:rPr>
              <w:t>MAPIE</w:t>
            </w:r>
          </w:p>
        </w:tc>
        <w:tc>
          <w:tcPr>
            <w:tcW w:type="dxa" w:w="4759"/>
          </w:tcPr>
          <w:p>
            <w:r>
              <w:rPr>
                <w:sz w:val="20"/>
              </w:rPr>
              <w:t>Conformal prediction (split-conformal intervals)</w:t>
            </w:r>
          </w:p>
        </w:tc>
      </w:tr>
      <w:tr>
        <w:tc>
          <w:tcPr>
            <w:tcW w:type="dxa" w:w="4759"/>
          </w:tcPr>
          <w:p>
            <w:r>
              <w:rPr>
                <w:sz w:val="20"/>
              </w:rPr>
              <w:t>MLflow • DVC</w:t>
            </w:r>
          </w:p>
        </w:tc>
        <w:tc>
          <w:tcPr>
            <w:tcW w:type="dxa" w:w="4759"/>
          </w:tcPr>
          <w:p>
            <w:r>
              <w:rPr>
                <w:sz w:val="20"/>
              </w:rPr>
              <w:t>Experiment tracking, model registry, and data/artefact versioning</w:t>
            </w:r>
          </w:p>
        </w:tc>
      </w:tr>
      <w:tr>
        <w:tc>
          <w:tcPr>
            <w:tcW w:type="dxa" w:w="4759"/>
          </w:tcPr>
          <w:p>
            <w:r>
              <w:rPr>
                <w:sz w:val="20"/>
              </w:rPr>
              <w:t>FastAPI • Uvicorn</w:t>
            </w:r>
          </w:p>
        </w:tc>
        <w:tc>
          <w:tcPr>
            <w:tcW w:type="dxa" w:w="4759"/>
          </w:tcPr>
          <w:p>
            <w:r>
              <w:rPr>
                <w:sz w:val="20"/>
              </w:rPr>
              <w:t>Production-grade REST API layer</w:t>
            </w:r>
          </w:p>
        </w:tc>
      </w:tr>
      <w:tr>
        <w:tc>
          <w:tcPr>
            <w:tcW w:type="dxa" w:w="4759"/>
          </w:tcPr>
          <w:p>
            <w:r>
              <w:rPr>
                <w:sz w:val="20"/>
              </w:rPr>
              <w:t>React 18 • Vite • TypeScript • Recharts</w:t>
            </w:r>
          </w:p>
        </w:tc>
        <w:tc>
          <w:tcPr>
            <w:tcW w:type="dxa" w:w="4759"/>
          </w:tcPr>
          <w:p>
            <w:r>
              <w:rPr>
                <w:sz w:val="20"/>
              </w:rPr>
              <w:t>Frontend SPA with typed components and interactive visualisation</w:t>
            </w:r>
          </w:p>
        </w:tc>
      </w:tr>
      <w:tr>
        <w:tc>
          <w:tcPr>
            <w:tcW w:type="dxa" w:w="4759"/>
          </w:tcPr>
          <w:p>
            <w:r>
              <w:rPr>
                <w:sz w:val="20"/>
              </w:rPr>
              <w:t>Docker • GitHub Actions</w:t>
            </w:r>
          </w:p>
        </w:tc>
        <w:tc>
          <w:tcPr>
            <w:tcW w:type="dxa" w:w="4759"/>
          </w:tcPr>
          <w:p>
            <w:r>
              <w:rPr>
                <w:sz w:val="20"/>
              </w:rPr>
              <w:t>Containerisation and CI/CD</w:t>
            </w:r>
          </w:p>
        </w:tc>
      </w:tr>
      <w:tr>
        <w:tc>
          <w:tcPr>
            <w:tcW w:type="dxa" w:w="4759"/>
          </w:tcPr>
          <w:p>
            <w:r>
              <w:rPr>
                <w:sz w:val="20"/>
              </w:rPr>
              <w:t>Jupyter / Google Colab Pro+</w:t>
            </w:r>
          </w:p>
        </w:tc>
        <w:tc>
          <w:tcPr>
            <w:tcW w:type="dxa" w:w="4759"/>
          </w:tcPr>
          <w:p>
            <w:r>
              <w:rPr>
                <w:sz w:val="20"/>
              </w:rPr>
              <w:t>Exploratory analysis and GPU-accelerated DL training</w:t>
            </w:r>
          </w:p>
        </w:tc>
      </w:tr>
    </w:tbl>
    <w:p>
      <w:pPr>
        <w:pStyle w:val="Heading2"/>
      </w:pPr>
      <w:r>
        <w:rPr>
          <w:color w:val="1F3A2E"/>
        </w:rPr>
        <w:t>5.16 Reproducibility and Computational Infrastructure</w:t>
      </w:r>
    </w:p>
    <w:p>
      <w:pPr>
        <w:jc w:val="both"/>
      </w:pPr>
      <w:r>
        <w:rPr>
          <w:rFonts w:ascii="Calibri" w:hAnsi="Calibri"/>
          <w:sz w:val="22"/>
        </w:rPr>
        <w:t>All experimentation runs in a containerised Python 3.11 environment with pinned dependencies via a uv lockfile; data, model, and metric artefacts are versioned with DVC; experiment runs are tracked in MLflow with full hyperparameter, code-version, and seed lineage. Compute: hyperparameter search runs on Google Colab Pro+ A100 GPU instances for the DL models and Warwick HPC CPU nodes for the GBDT models, with budgets pre-registered (approximately 500 GPU-hours and 2,000 CPU-hours in total). A `make reproduce` target re-runs the full pipeline from raw data to scored test set in under eight hours of wall-clock time, satisfying both academic reproducibility norms [Pineau et al., 2021] and the EU AI Act's technical documentation requirements.</w:t>
      </w:r>
    </w:p>
    <w:p>
      <w:pPr>
        <w:pStyle w:val="Heading2"/>
      </w:pPr>
      <w:r>
        <w:rPr>
          <w:color w:val="1F3A2E"/>
        </w:rPr>
        <w:t>5.17 Ethical Considerations</w:t>
      </w:r>
    </w:p>
    <w:p>
      <w:pPr>
        <w:pStyle w:val="ListBullet"/>
        <w:jc w:val="both"/>
      </w:pPr>
      <w:r>
        <w:rPr>
          <w:rFonts w:ascii="Calibri" w:hAnsi="Calibri"/>
          <w:sz w:val="22"/>
        </w:rPr>
        <w:t>Data privacy. The dataset is de-identified by the providing institution prior to release; no personally identifying information enters analysis. All artefacts and processed extracts are stored in encrypted university storage and destroyed at submission, per Warwick's research ethics protocol and UK GDPR.</w:t>
      </w:r>
    </w:p>
    <w:p>
      <w:pPr>
        <w:pStyle w:val="ListBullet"/>
        <w:jc w:val="both"/>
      </w:pPr>
      <w:r>
        <w:rPr>
          <w:rFonts w:ascii="Calibri" w:hAnsi="Calibri"/>
          <w:sz w:val="22"/>
        </w:rPr>
        <w:t>Fairness. The audit framework of Section 5.12 is mandatory, not optional; failure to clear pre-registered fairness thresholds will be reported transparently in the dissertation alongside successful results.</w:t>
      </w:r>
    </w:p>
    <w:p>
      <w:pPr>
        <w:pStyle w:val="ListBullet"/>
        <w:jc w:val="both"/>
      </w:pPr>
      <w:r>
        <w:rPr>
          <w:rFonts w:ascii="Calibri" w:hAnsi="Calibri"/>
          <w:sz w:val="22"/>
        </w:rPr>
        <w:t>Human oversight. The web application explicitly badges all outputs as decision-support, not decision-replacement, and surfaces counterfactuals to enable substantive applicant recourse.</w:t>
      </w:r>
    </w:p>
    <w:p>
      <w:pPr>
        <w:pStyle w:val="ListBullet"/>
        <w:jc w:val="both"/>
      </w:pPr>
      <w:r>
        <w:rPr>
          <w:rFonts w:ascii="Calibri" w:hAnsi="Calibri"/>
          <w:sz w:val="22"/>
        </w:rPr>
        <w:t>Transparency. Code, model cards, datasheets [Gebru et al., 2021], and the full training pipeline are released under a permissive open-source licence on submission, subject to the data licence's commercial-use restrictions.</w:t>
      </w:r>
    </w:p>
    <w:p>
      <w:r>
        <w:br w:type="page"/>
      </w:r>
    </w:p>
    <w:p>
      <w:pPr>
        <w:pStyle w:val="Heading1"/>
      </w:pPr>
      <w:r>
        <w:rPr>
          <w:color w:val="1F3A2E"/>
        </w:rPr>
        <w:t>6. Expected Contributions</w:t>
      </w:r>
    </w:p>
    <w:p>
      <w:pPr>
        <w:jc w:val="both"/>
      </w:pPr>
      <w:r>
        <w:rPr>
          <w:rFonts w:ascii="Calibri" w:hAnsi="Calibri"/>
          <w:b/>
          <w:sz w:val="22"/>
        </w:rPr>
        <w:t>Methodological</w:t>
      </w:r>
    </w:p>
    <w:p>
      <w:pPr>
        <w:pStyle w:val="ListNumber"/>
        <w:jc w:val="both"/>
      </w:pPr>
      <w:r>
        <w:rPr>
          <w:rFonts w:ascii="Calibri" w:hAnsi="Calibri"/>
          <w:sz w:val="22"/>
        </w:rPr>
        <w:t>A reproducible end-to-end ML pipeline for green-loan credit scoring integrating nested CV, Bayesian HPO, calibration, conformal uncertainty, multi-method explainability, and fairness audit — currently absent in the literature.</w:t>
      </w:r>
    </w:p>
    <w:p>
      <w:pPr>
        <w:pStyle w:val="ListNumber"/>
        <w:jc w:val="both"/>
      </w:pPr>
      <w:r>
        <w:rPr>
          <w:rFonts w:ascii="Calibri" w:hAnsi="Calibri"/>
          <w:sz w:val="22"/>
        </w:rPr>
        <w:t>An empirical benchmark of six classifier families (LR, SVM, RF, XGBoost/LightGBM/CatBoost, FT-Transformer/MLP) on the same green-loan dataset under identical preprocessing — the first apples-to-apples comparison of tabular DL versus GBDT in the green-credit context.</w:t>
      </w:r>
    </w:p>
    <w:p>
      <w:pPr>
        <w:jc w:val="both"/>
      </w:pPr>
      <w:r>
        <w:rPr>
          <w:rFonts w:ascii="Calibri" w:hAnsi="Calibri"/>
          <w:b/>
          <w:sz w:val="22"/>
        </w:rPr>
        <w:t>Substantive</w:t>
      </w:r>
    </w:p>
    <w:p>
      <w:pPr>
        <w:pStyle w:val="ListNumber"/>
        <w:jc w:val="both"/>
      </w:pPr>
      <w:r>
        <w:rPr>
          <w:rFonts w:ascii="Calibri" w:hAnsi="Calibri"/>
          <w:sz w:val="22"/>
        </w:rPr>
        <w:t>Identification of the feature determinants of green-loan creditworthiness, including derivative features (loan-to-revenue ratio, factor-rate-adjusted APR) and segment-conditional risk heterogeneity that uniform underwriting thresholds currently miss.</w:t>
      </w:r>
    </w:p>
    <w:p>
      <w:pPr>
        <w:pStyle w:val="ListNumber"/>
        <w:jc w:val="both"/>
      </w:pPr>
      <w:r>
        <w:rPr>
          <w:rFonts w:ascii="Calibri" w:hAnsi="Calibri"/>
          <w:sz w:val="22"/>
        </w:rPr>
        <w:t>Empirical evidence on whether modern tabular deep learning closes its historical gap to GBDTs in the green-credit context at the data scale typical for this asset class.</w:t>
      </w:r>
    </w:p>
    <w:p>
      <w:pPr>
        <w:jc w:val="both"/>
      </w:pPr>
      <w:r>
        <w:rPr>
          <w:rFonts w:ascii="Calibri" w:hAnsi="Calibri"/>
          <w:b/>
          <w:sz w:val="22"/>
        </w:rPr>
        <w:t>Practical and Translational</w:t>
      </w:r>
    </w:p>
    <w:p>
      <w:pPr>
        <w:pStyle w:val="ListNumber"/>
        <w:jc w:val="both"/>
      </w:pPr>
      <w:r>
        <w:rPr>
          <w:rFonts w:ascii="Calibri" w:hAnsi="Calibri"/>
          <w:sz w:val="22"/>
        </w:rPr>
        <w:t>The EMERALD-AI web application as an open-source, MLOps-grade reference implementation that lending institutions and researchers can adapt — bridging the production gap that has limited academic-to-industry knowledge transfer in credit AI.</w:t>
      </w:r>
    </w:p>
    <w:p>
      <w:pPr>
        <w:pStyle w:val="ListNumber"/>
        <w:jc w:val="both"/>
      </w:pPr>
      <w:r>
        <w:rPr>
          <w:rFonts w:ascii="Calibri" w:hAnsi="Calibri"/>
          <w:sz w:val="22"/>
        </w:rPr>
        <w:t>A regulator-ready audit template covering calibration, fairness, robustness, and explanation fidelity, mapped explicitly to EU AI Act Annex III obligations and FCA Consumer Duty outcomes.</w:t>
      </w:r>
    </w:p>
    <w:p>
      <w:pPr>
        <w:pStyle w:val="Heading1"/>
      </w:pPr>
      <w:r>
        <w:rPr>
          <w:color w:val="1F3A2E"/>
        </w:rPr>
        <w:t>7. Project Plan (16 Weeks)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Weeks</w:t>
            </w:r>
          </w:p>
        </w:tc>
        <w:tc>
          <w:tcPr>
            <w:tcW w:type="dxa" w:w="3173"/>
          </w:tcPr>
          <w:p>
            <w:r>
              <w:rPr>
                <w:b/>
                <w:sz w:val="20"/>
              </w:rPr>
              <w:t>Workstream</w:t>
            </w:r>
          </w:p>
        </w:tc>
        <w:tc>
          <w:tcPr>
            <w:tcW w:type="dxa" w:w="3173"/>
          </w:tcPr>
          <w:p>
            <w:r>
              <w:rPr>
                <w:b/>
                <w:sz w:val="20"/>
              </w:rPr>
              <w:t>Key Deliverables</w:t>
            </w:r>
          </w:p>
        </w:tc>
      </w:tr>
      <w:tr>
        <w:tc>
          <w:tcPr>
            <w:tcW w:type="dxa" w:w="3173"/>
          </w:tcPr>
          <w:p>
            <w:r>
              <w:rPr>
                <w:sz w:val="20"/>
              </w:rPr>
              <w:t>1–2</w:t>
            </w:r>
          </w:p>
        </w:tc>
        <w:tc>
          <w:tcPr>
            <w:tcW w:type="dxa" w:w="3173"/>
          </w:tcPr>
          <w:p>
            <w:r>
              <w:rPr>
                <w:sz w:val="20"/>
              </w:rPr>
              <w:t>Setup</w:t>
            </w:r>
          </w:p>
        </w:tc>
        <w:tc>
          <w:tcPr>
            <w:tcW w:type="dxa" w:w="3173"/>
          </w:tcPr>
          <w:p>
            <w:r>
              <w:rPr>
                <w:sz w:val="20"/>
              </w:rPr>
              <w:t>Final literature scan, data-access confirmation, environment &amp; CI bootstrap, ethics approval</w:t>
            </w:r>
          </w:p>
        </w:tc>
      </w:tr>
      <w:tr>
        <w:tc>
          <w:tcPr>
            <w:tcW w:type="dxa" w:w="3173"/>
          </w:tcPr>
          <w:p>
            <w:r>
              <w:rPr>
                <w:sz w:val="20"/>
              </w:rPr>
              <w:t>3–4</w:t>
            </w:r>
          </w:p>
        </w:tc>
        <w:tc>
          <w:tcPr>
            <w:tcW w:type="dxa" w:w="3173"/>
          </w:tcPr>
          <w:p>
            <w:r>
              <w:rPr>
                <w:sz w:val="20"/>
              </w:rPr>
              <w:t>Data understanding</w:t>
            </w:r>
          </w:p>
        </w:tc>
        <w:tc>
          <w:tcPr>
            <w:tcW w:type="dxa" w:w="3173"/>
          </w:tcPr>
          <w:p>
            <w:r>
              <w:rPr>
                <w:sz w:val="20"/>
              </w:rPr>
              <w:t>EDA report, target-leakage audit, feature catalogue</w:t>
            </w:r>
          </w:p>
        </w:tc>
      </w:tr>
      <w:tr>
        <w:tc>
          <w:tcPr>
            <w:tcW w:type="dxa" w:w="3173"/>
          </w:tcPr>
          <w:p>
            <w:r>
              <w:rPr>
                <w:sz w:val="20"/>
              </w:rPr>
              <w:t>5–7</w:t>
            </w:r>
          </w:p>
        </w:tc>
        <w:tc>
          <w:tcPr>
            <w:tcW w:type="dxa" w:w="3173"/>
          </w:tcPr>
          <w:p>
            <w:r>
              <w:rPr>
                <w:sz w:val="20"/>
              </w:rPr>
              <w:t>Data preparation</w:t>
            </w:r>
          </w:p>
        </w:tc>
        <w:tc>
          <w:tcPr>
            <w:tcW w:type="dxa" w:w="3173"/>
          </w:tcPr>
          <w:p>
            <w:r>
              <w:rPr>
                <w:sz w:val="20"/>
              </w:rPr>
              <w:t>Preprocessing pipeline, feature engineering, class-imbalance experiments</w:t>
            </w:r>
          </w:p>
        </w:tc>
      </w:tr>
      <w:tr>
        <w:tc>
          <w:tcPr>
            <w:tcW w:type="dxa" w:w="3173"/>
          </w:tcPr>
          <w:p>
            <w:r>
              <w:rPr>
                <w:sz w:val="20"/>
              </w:rPr>
              <w:t>8–10</w:t>
            </w:r>
          </w:p>
        </w:tc>
        <w:tc>
          <w:tcPr>
            <w:tcW w:type="dxa" w:w="3173"/>
          </w:tcPr>
          <w:p>
            <w:r>
              <w:rPr>
                <w:sz w:val="20"/>
              </w:rPr>
              <w:t>Modelling</w:t>
            </w:r>
          </w:p>
        </w:tc>
        <w:tc>
          <w:tcPr>
            <w:tcW w:type="dxa" w:w="3173"/>
          </w:tcPr>
          <w:p>
            <w:r>
              <w:rPr>
                <w:sz w:val="20"/>
              </w:rPr>
              <w:t>Nested CV and Bayesian HPO across all six model families; statistical comparison</w:t>
            </w:r>
          </w:p>
        </w:tc>
      </w:tr>
      <w:tr>
        <w:tc>
          <w:tcPr>
            <w:tcW w:type="dxa" w:w="3173"/>
          </w:tcPr>
          <w:p>
            <w:r>
              <w:rPr>
                <w:sz w:val="20"/>
              </w:rPr>
              <w:t>11</w:t>
            </w:r>
          </w:p>
        </w:tc>
        <w:tc>
          <w:tcPr>
            <w:tcW w:type="dxa" w:w="3173"/>
          </w:tcPr>
          <w:p>
            <w:r>
              <w:rPr>
                <w:sz w:val="20"/>
              </w:rPr>
              <w:t>Calibration &amp; uncertainty</w:t>
            </w:r>
          </w:p>
        </w:tc>
        <w:tc>
          <w:tcPr>
            <w:tcW w:type="dxa" w:w="3173"/>
          </w:tcPr>
          <w:p>
            <w:r>
              <w:rPr>
                <w:sz w:val="20"/>
              </w:rPr>
              <w:t>Reliability diagrams, calibrator selection, conformal intervals</w:t>
            </w:r>
          </w:p>
        </w:tc>
      </w:tr>
      <w:tr>
        <w:tc>
          <w:tcPr>
            <w:tcW w:type="dxa" w:w="3173"/>
          </w:tcPr>
          <w:p>
            <w:r>
              <w:rPr>
                <w:sz w:val="20"/>
              </w:rPr>
              <w:t>12–13</w:t>
            </w:r>
          </w:p>
        </w:tc>
        <w:tc>
          <w:tcPr>
            <w:tcW w:type="dxa" w:w="3173"/>
          </w:tcPr>
          <w:p>
            <w:r>
              <w:rPr>
                <w:sz w:val="20"/>
              </w:rPr>
              <w:t>Audit</w:t>
            </w:r>
          </w:p>
        </w:tc>
        <w:tc>
          <w:tcPr>
            <w:tcW w:type="dxa" w:w="3173"/>
          </w:tcPr>
          <w:p>
            <w:r>
              <w:rPr>
                <w:sz w:val="20"/>
              </w:rPr>
              <w:t>Explainability stack with Quantus fidelity validation; fairness, stability, and robustness audit</w:t>
            </w:r>
          </w:p>
        </w:tc>
      </w:tr>
      <w:tr>
        <w:tc>
          <w:tcPr>
            <w:tcW w:type="dxa" w:w="3173"/>
          </w:tcPr>
          <w:p>
            <w:r>
              <w:rPr>
                <w:sz w:val="20"/>
              </w:rPr>
              <w:t>14–15</w:t>
            </w:r>
          </w:p>
        </w:tc>
        <w:tc>
          <w:tcPr>
            <w:tcW w:type="dxa" w:w="3173"/>
          </w:tcPr>
          <w:p>
            <w:r>
              <w:rPr>
                <w:sz w:val="20"/>
              </w:rPr>
              <w:t>Deployment</w:t>
            </w:r>
          </w:p>
        </w:tc>
        <w:tc>
          <w:tcPr>
            <w:tcW w:type="dxa" w:w="3173"/>
          </w:tcPr>
          <w:p>
            <w:r>
              <w:rPr>
                <w:sz w:val="20"/>
              </w:rPr>
              <w:t>Web application implementation, MLOps integration, user-acceptance evaluation</w:t>
            </w:r>
          </w:p>
        </w:tc>
      </w:tr>
      <w:tr>
        <w:tc>
          <w:tcPr>
            <w:tcW w:type="dxa" w:w="3173"/>
          </w:tcPr>
          <w:p>
            <w:r>
              <w:rPr>
                <w:sz w:val="20"/>
              </w:rPr>
              <w:t>16</w:t>
            </w:r>
          </w:p>
        </w:tc>
        <w:tc>
          <w:tcPr>
            <w:tcW w:type="dxa" w:w="3173"/>
          </w:tcPr>
          <w:p>
            <w:r>
              <w:rPr>
                <w:sz w:val="20"/>
              </w:rPr>
              <w:t>Submission</w:t>
            </w:r>
          </w:p>
        </w:tc>
        <w:tc>
          <w:tcPr>
            <w:tcW w:type="dxa" w:w="3173"/>
          </w:tcPr>
          <w:p>
            <w:r>
              <w:rPr>
                <w:sz w:val="20"/>
              </w:rPr>
              <w:t>Dissertation write-up, model-card and datasheet finalisation, open-source release</w:t>
            </w:r>
          </w:p>
        </w:tc>
      </w:tr>
    </w:tbl>
    <w:p>
      <w:r>
        <w:br w:type="page"/>
      </w:r>
    </w:p>
    <w:p>
      <w:pPr>
        <w:pStyle w:val="Heading1"/>
      </w:pPr>
      <w:r>
        <w:rPr>
          <w:color w:val="1F3A2E"/>
        </w:rPr>
        <w:t>8. References</w:t>
      </w:r>
    </w:p>
    <w:p>
      <w:pPr>
        <w:jc w:val="both"/>
      </w:pPr>
      <w:r>
        <w:rPr>
          <w:rFonts w:ascii="Calibri" w:hAnsi="Calibri"/>
          <w:i/>
          <w:sz w:val="22"/>
        </w:rPr>
        <w:t>Placeholder format [Author, Year] is used per supervisor request; the original list is preserved and augmented with new sources required to support the elevated literature and methodology sections.</w:t>
      </w:r>
    </w:p>
    <w:p>
      <w:pPr>
        <w:spacing w:after="80"/>
        <w:ind w:left="567" w:hanging="567"/>
      </w:pPr>
      <w:r>
        <w:rPr>
          <w:sz w:val="20"/>
        </w:rPr>
        <w:t>Aas, K., Jullum, M., &amp; Løland, A. (2021). Explaining individual predictions when features are dependent. Artificial Intelligence, 298, 103502.</w:t>
      </w:r>
    </w:p>
    <w:p>
      <w:pPr>
        <w:spacing w:after="80"/>
        <w:ind w:left="567" w:hanging="567"/>
      </w:pPr>
      <w:r>
        <w:rPr>
          <w:sz w:val="20"/>
        </w:rPr>
        <w:t>Akiba, T., Sano, S., Yanase, T., Ohta, T., &amp; Koyama, M. (2019). Optuna: A next-generation hyperparameter optimization framework. KDD.</w:t>
      </w:r>
    </w:p>
    <w:p>
      <w:pPr>
        <w:spacing w:after="80"/>
        <w:ind w:left="567" w:hanging="567"/>
      </w:pPr>
      <w:r>
        <w:rPr>
          <w:sz w:val="20"/>
        </w:rPr>
        <w:t>Altman, E. I. (1968). Financial ratios, discriminant analysis and the prediction of corporate bankruptcy. Journal of Finance, 23(4), 589–609.</w:t>
      </w:r>
    </w:p>
    <w:p>
      <w:pPr>
        <w:spacing w:after="80"/>
        <w:ind w:left="567" w:hanging="567"/>
      </w:pPr>
      <w:r>
        <w:rPr>
          <w:sz w:val="20"/>
        </w:rPr>
        <w:t>Angelopoulos, A. N., &amp; Bates, S. (2023). Conformal prediction: A gentle introduction. Foundations and Trends in ML, 16(4).</w:t>
      </w:r>
    </w:p>
    <w:p>
      <w:pPr>
        <w:spacing w:after="80"/>
        <w:ind w:left="567" w:hanging="567"/>
      </w:pPr>
      <w:r>
        <w:rPr>
          <w:sz w:val="20"/>
        </w:rPr>
        <w:t>Arik, S. Ö., &amp; Pfister, T. (2021). TabNet: Attentive interpretable tabular learning. AAAI.</w:t>
      </w:r>
    </w:p>
    <w:p>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pPr>
        <w:spacing w:after="80"/>
        <w:ind w:left="567" w:hanging="567"/>
      </w:pPr>
      <w:r>
        <w:rPr>
          <w:sz w:val="20"/>
        </w:rPr>
        <w:t>Beaver, W. H. (1966). Financial ratios as predictors of failure. Journal of Accounting Research, 4, 71–111.</w:t>
      </w:r>
    </w:p>
    <w:p>
      <w:pPr>
        <w:spacing w:after="80"/>
        <w:ind w:left="567" w:hanging="567"/>
      </w:pPr>
      <w:r>
        <w:rPr>
          <w:sz w:val="20"/>
        </w:rPr>
        <w:t>Bellamy, R. K. E., et al. (2018). AI Fairness 360: An extensible toolkit for detecting, understanding, and mitigating unwanted algorithmic bias. IBM Journal of R&amp;D, 63(4/5).</w:t>
      </w:r>
    </w:p>
    <w:p>
      <w:pPr>
        <w:spacing w:after="80"/>
        <w:ind w:left="567" w:hanging="567"/>
      </w:pPr>
      <w:r>
        <w:rPr>
          <w:sz w:val="20"/>
        </w:rPr>
        <w:t>Berg, F., Kölbel, J. F., &amp; Rigobon, R. (2022). Aggregate confusion: The divergence of ESG ratings. Review of Finance, 26(6), 1315–1344.</w:t>
      </w:r>
    </w:p>
    <w:p>
      <w:pPr>
        <w:spacing w:after="80"/>
        <w:ind w:left="567" w:hanging="567"/>
      </w:pPr>
      <w:r>
        <w:rPr>
          <w:sz w:val="20"/>
        </w:rPr>
        <w:t>Borisov, V., Leemann, T., et al. (2022). Deep neural networks and tabular data: A survey. IEEE Transactions on Neural Networks and Learning Systems.</w:t>
      </w:r>
    </w:p>
    <w:p>
      <w:pPr>
        <w:spacing w:after="80"/>
        <w:ind w:left="567" w:hanging="567"/>
      </w:pPr>
      <w:r>
        <w:rPr>
          <w:sz w:val="20"/>
        </w:rPr>
        <w:t>Breiman, L. (2001). Random forests. Machine Learning, 45(1), 5–32.</w:t>
      </w:r>
    </w:p>
    <w:p>
      <w:pPr>
        <w:spacing w:after="80"/>
        <w:ind w:left="567" w:hanging="567"/>
      </w:pPr>
      <w:r>
        <w:rPr>
          <w:sz w:val="20"/>
        </w:rPr>
        <w:t>Chawla, N. V., Bowyer, K. W., Hall, L. O., &amp; Kegelmeyer, W. P. (2002). SMOTE: Synthetic minority over-sampling technique. JAIR, 16, 321–357.</w:t>
      </w:r>
    </w:p>
    <w:p>
      <w:pPr>
        <w:spacing w:after="80"/>
        <w:ind w:left="567" w:hanging="567"/>
      </w:pPr>
      <w:r>
        <w:rPr>
          <w:sz w:val="20"/>
        </w:rPr>
        <w:t>Chen, T., &amp; Guestrin, C. (2016). XGBoost: A scalable tree boosting system. KDD.</w:t>
      </w:r>
    </w:p>
    <w:p>
      <w:pPr>
        <w:spacing w:after="80"/>
        <w:ind w:left="567" w:hanging="567"/>
      </w:pPr>
      <w:r>
        <w:rPr>
          <w:sz w:val="20"/>
        </w:rPr>
        <w:t>Chouldechova, A. (2017). Fair prediction with disparate impact: A study of bias in recidivism prediction instruments. Big Data, 5(2), 153–163.</w:t>
      </w:r>
    </w:p>
    <w:p>
      <w:pPr>
        <w:spacing w:after="80"/>
        <w:ind w:left="567" w:hanging="567"/>
      </w:pPr>
      <w:r>
        <w:rPr>
          <w:sz w:val="20"/>
        </w:rPr>
        <w:t>Climate Bonds Initiative. (2023). Climate Bonds Standard v4.</w:t>
      </w:r>
    </w:p>
    <w:p>
      <w:pPr>
        <w:spacing w:after="80"/>
        <w:ind w:left="567" w:hanging="567"/>
      </w:pPr>
      <w:r>
        <w:rPr>
          <w:sz w:val="20"/>
        </w:rPr>
        <w:t>DeLong, E. R., DeLong, D. M., &amp; Clarke-Pearson, D. L. (1988). Comparing the areas under two or more correlated ROC curves. Biometrics, 44(3), 837–845.</w:t>
      </w:r>
    </w:p>
    <w:p>
      <w:pPr>
        <w:spacing w:after="80"/>
        <w:ind w:left="567" w:hanging="567"/>
      </w:pPr>
      <w:r>
        <w:rPr>
          <w:sz w:val="20"/>
        </w:rPr>
        <w:t>Dumitrescu, E., Hue, S., Hurlin, C., &amp; Tokpavi, S. (2022). Machine learning for credit scoring: Improving logistic regression with non-linear decision-tree effects. EJOR, 297(3), 1178–1192.</w:t>
      </w:r>
    </w:p>
    <w:p>
      <w:pPr>
        <w:spacing w:after="80"/>
        <w:ind w:left="567" w:hanging="567"/>
      </w:pPr>
      <w:r>
        <w:rPr>
          <w:sz w:val="20"/>
        </w:rPr>
        <w:t>Ehlers, T., &amp; Packer, F. (2017). Green bond finance and certification. BIS Quarterly Review, September 2017.</w:t>
      </w:r>
    </w:p>
    <w:p>
      <w:pPr>
        <w:spacing w:after="80"/>
        <w:ind w:left="567" w:hanging="567"/>
      </w:pPr>
      <w:r>
        <w:rPr>
          <w:sz w:val="20"/>
        </w:rPr>
        <w:t>European Banking Authority. (2020). Guidelines on loan origination and monitoring (EBA/GL/2020/06).</w:t>
      </w:r>
    </w:p>
    <w:p>
      <w:pPr>
        <w:spacing w:after="80"/>
        <w:ind w:left="567" w:hanging="567"/>
      </w:pPr>
      <w:r>
        <w:rPr>
          <w:sz w:val="20"/>
        </w:rPr>
        <w:t>European Commission. (2020). Regulation (EU) 2020/852 on the establishment of a framework to facilitate sustainable investment (Taxonomy Regulation).</w:t>
      </w:r>
    </w:p>
    <w:p>
      <w:pPr>
        <w:spacing w:after="80"/>
        <w:ind w:left="567" w:hanging="567"/>
      </w:pPr>
      <w:r>
        <w:rPr>
          <w:sz w:val="20"/>
        </w:rPr>
        <w:t>European Commission. (2021). Proposal for a Regulation laying down harmonised rules on artificial intelligence (Artificial Intelligence Act). COM/2021/206 final.</w:t>
      </w:r>
    </w:p>
    <w:p>
      <w:pPr>
        <w:spacing w:after="80"/>
        <w:ind w:left="567" w:hanging="567"/>
      </w:pPr>
      <w:r>
        <w:rPr>
          <w:sz w:val="20"/>
        </w:rPr>
        <w:t>Financial Conduct Authority. (2022). Consumer Duty: Final rules and guidance. Policy Statement PS22/9.</w:t>
      </w:r>
    </w:p>
    <w:p>
      <w:pPr>
        <w:spacing w:after="80"/>
        <w:ind w:left="567" w:hanging="567"/>
      </w:pPr>
      <w:r>
        <w:rPr>
          <w:sz w:val="20"/>
        </w:rPr>
        <w:t>Flammer, C. (2021). Corporate green bonds. Journal of Financial Economics, 142(2), 499–516.</w:t>
      </w:r>
    </w:p>
    <w:p>
      <w:pPr>
        <w:spacing w:after="80"/>
        <w:ind w:left="567" w:hanging="567"/>
      </w:pPr>
      <w:r>
        <w:rPr>
          <w:sz w:val="20"/>
        </w:rPr>
        <w:t>Gebru, T., Morgenstern, J., et al. (2021). Datasheets for datasets. Communications of the ACM, 64(12), 86–92.</w:t>
      </w:r>
    </w:p>
    <w:p>
      <w:pPr>
        <w:spacing w:after="80"/>
        <w:ind w:left="567" w:hanging="567"/>
      </w:pPr>
      <w:r>
        <w:rPr>
          <w:sz w:val="20"/>
        </w:rPr>
        <w:t>Gorishniy, Y., Rubachev, I., Khrulkov, V., &amp; Babenko, A. (2021). Revisiting deep learning models for tabular data. NeurIPS.</w:t>
      </w:r>
    </w:p>
    <w:p>
      <w:pPr>
        <w:spacing w:after="80"/>
        <w:ind w:left="567" w:hanging="567"/>
      </w:pPr>
      <w:r>
        <w:rPr>
          <w:sz w:val="20"/>
        </w:rPr>
        <w:t>Grinsztajn, L., Oyallon, E., &amp; Varoquaux, G. (2022). Why do tree-based models still outperform deep learning on tabular data? NeurIPS Datasets and Benchmarks.</w:t>
      </w:r>
    </w:p>
    <w:p>
      <w:pPr>
        <w:spacing w:after="80"/>
        <w:ind w:left="567" w:hanging="567"/>
      </w:pPr>
      <w:r>
        <w:rPr>
          <w:sz w:val="20"/>
        </w:rPr>
        <w:t>Hand, D. J., &amp; Henley, W. E. (1997). Statistical classification methods in consumer credit scoring: A review. Journal of the Royal Statistical Society A, 160(3), 523–541.</w:t>
      </w:r>
    </w:p>
    <w:p>
      <w:pPr>
        <w:spacing w:after="80"/>
        <w:ind w:left="567" w:hanging="567"/>
      </w:pPr>
      <w:r>
        <w:rPr>
          <w:sz w:val="20"/>
        </w:rPr>
        <w:t>Hardt, M., Price, E., &amp; Srebro, N. (2016). Equality of opportunity in supervised learning. NeurIPS.</w:t>
      </w:r>
    </w:p>
    <w:p>
      <w:pPr>
        <w:spacing w:after="80"/>
        <w:ind w:left="567" w:hanging="567"/>
      </w:pPr>
      <w:r>
        <w:rPr>
          <w:sz w:val="20"/>
        </w:rPr>
        <w:t>He, H., Bai, Y., Garcia, E. A., &amp; Li, S. (2008). ADASYN: Adaptive synthetic sampling approach for imbalanced learning. IJCNN.</w:t>
      </w:r>
    </w:p>
    <w:p>
      <w:pPr>
        <w:spacing w:after="80"/>
        <w:ind w:left="567" w:hanging="567"/>
      </w:pPr>
      <w:r>
        <w:rPr>
          <w:sz w:val="20"/>
        </w:rPr>
        <w:t>Hedström, A., et al. (2023). Quantus: An explainable AI toolkit for responsible evaluation of neural network explanations. JMLR, 24.</w:t>
      </w:r>
    </w:p>
    <w:p>
      <w:pPr>
        <w:spacing w:after="80"/>
        <w:ind w:left="567" w:hanging="567"/>
      </w:pPr>
      <w:r>
        <w:rPr>
          <w:sz w:val="20"/>
        </w:rPr>
        <w:t>Janzing, D., Minorics, L., &amp; Blöbaum, P. (2020). Feature relevance quantification in explainable AI: A causal problem. AISTATS.</w:t>
      </w:r>
    </w:p>
    <w:p>
      <w:pPr>
        <w:spacing w:after="80"/>
        <w:ind w:left="567" w:hanging="567"/>
      </w:pPr>
      <w:r>
        <w:rPr>
          <w:sz w:val="20"/>
        </w:rPr>
        <w:t>Kamiran, F., &amp; Calders, T. (2012). Data preprocessing techniques for classification without discrimination. Knowledge and Information Systems, 33(1), 1–33.</w:t>
      </w:r>
    </w:p>
    <w:p>
      <w:pPr>
        <w:spacing w:after="80"/>
        <w:ind w:left="567" w:hanging="567"/>
      </w:pPr>
      <w:r>
        <w:rPr>
          <w:sz w:val="20"/>
        </w:rPr>
        <w:t>Ke, G., Meng, Q., et al. (2017). LightGBM: A highly efficient gradient boosting decision tree. NeurIPS.</w:t>
      </w:r>
    </w:p>
    <w:p>
      <w:pPr>
        <w:spacing w:after="80"/>
        <w:ind w:left="567" w:hanging="567"/>
      </w:pPr>
      <w:r>
        <w:rPr>
          <w:sz w:val="20"/>
        </w:rPr>
        <w:t>Kleinberg, J., Mullainathan, S., &amp; Raghavan, M. (2017). Inherent trade-offs in the fair determination of risk scores. ITCS.</w:t>
      </w:r>
    </w:p>
    <w:p>
      <w:pPr>
        <w:spacing w:after="80"/>
        <w:ind w:left="567" w:hanging="567"/>
      </w:pPr>
      <w:r>
        <w:rPr>
          <w:sz w:val="20"/>
        </w:rPr>
        <w:t>Kursa, M. B., &amp; Rudnicki, W. R. (2010). Feature selection with the Boruta package. Journal of Statistical Software, 36(11).</w:t>
      </w:r>
    </w:p>
    <w:p>
      <w:pPr>
        <w:spacing w:after="80"/>
        <w:ind w:left="567" w:hanging="567"/>
      </w:pPr>
      <w:r>
        <w:rPr>
          <w:sz w:val="20"/>
        </w:rPr>
        <w:t>Lessmann, S., Baesens, B., Seow, H. V., &amp; Thomas, L. C. (2015). Benchmarking state-of-the-art classification algorithms for credit scoring: An update of research. EJOR, 247(1), 124–136.</w:t>
      </w:r>
    </w:p>
    <w:p>
      <w:pPr>
        <w:spacing w:after="80"/>
        <w:ind w:left="567" w:hanging="567"/>
      </w:pPr>
      <w:r>
        <w:rPr>
          <w:sz w:val="20"/>
        </w:rPr>
        <w:t>Lin, T.-Y., Goyal, P., Girshick, R., He, K., &amp; Dollár, P. (2017). Focal loss for dense object detection. ICCV.</w:t>
      </w:r>
    </w:p>
    <w:p>
      <w:pPr>
        <w:spacing w:after="80"/>
        <w:ind w:left="567" w:hanging="567"/>
      </w:pPr>
      <w:r>
        <w:rPr>
          <w:sz w:val="20"/>
        </w:rPr>
        <w:t>Loan Market Association, APLMA, &amp; LSTA. (2023). Green Loan Principles.</w:t>
      </w:r>
    </w:p>
    <w:p>
      <w:pPr>
        <w:spacing w:after="80"/>
        <w:ind w:left="567" w:hanging="567"/>
      </w:pPr>
      <w:r>
        <w:rPr>
          <w:sz w:val="20"/>
        </w:rPr>
        <w:t>Lu, J., Liu, A., Dong, F., Gu, F., Gama, J., &amp; Zhang, G. (2018). Learning under concept drift: A review. IEEE TKDE.</w:t>
      </w:r>
    </w:p>
    <w:p>
      <w:pPr>
        <w:spacing w:after="80"/>
        <w:ind w:left="567" w:hanging="567"/>
      </w:pPr>
      <w:r>
        <w:rPr>
          <w:sz w:val="20"/>
        </w:rPr>
        <w:t>Lundberg, S. M., &amp; Lee, S.-I. (2017). A unified approach to interpreting model predictions. NeurIPS.</w:t>
      </w:r>
    </w:p>
    <w:p>
      <w:pPr>
        <w:spacing w:after="80"/>
        <w:ind w:left="567" w:hanging="567"/>
      </w:pPr>
      <w:r>
        <w:rPr>
          <w:sz w:val="20"/>
        </w:rPr>
        <w:t>Lundberg, S. M., et al. (2020). From local explanations to global understanding with explainable AI for trees. Nature Machine Intelligence, 2, 56–67.</w:t>
      </w:r>
    </w:p>
    <w:p>
      <w:pPr>
        <w:spacing w:after="80"/>
        <w:ind w:left="567" w:hanging="567"/>
      </w:pPr>
      <w:r>
        <w:rPr>
          <w:sz w:val="20"/>
        </w:rPr>
        <w:t>Micci-Barreca, D. (2001). A preprocessing scheme for high-cardinality categorical attributes in classification and prediction problems. SIGKDD Explorations, 3(1), 27–32.</w:t>
      </w:r>
    </w:p>
    <w:p>
      <w:pPr>
        <w:spacing w:after="80"/>
        <w:ind w:left="567" w:hanging="567"/>
      </w:pPr>
      <w:r>
        <w:rPr>
          <w:sz w:val="20"/>
        </w:rPr>
        <w:t>Mothilal, R. K., Sharma, A., &amp; Tan, C. (2020). Explaining machine learning classifiers through diverse counterfactual explanations. FAccT.</w:t>
      </w:r>
    </w:p>
    <w:p>
      <w:pPr>
        <w:spacing w:after="80"/>
        <w:ind w:left="567" w:hanging="567"/>
      </w:pPr>
      <w:r>
        <w:rPr>
          <w:sz w:val="20"/>
        </w:rPr>
        <w:t>Pineau, J., et al. (2021). Improving reproducibility in machine learning research. JMLR, 22.</w:t>
      </w:r>
    </w:p>
    <w:p>
      <w:pPr>
        <w:spacing w:after="80"/>
        <w:ind w:left="567" w:hanging="567"/>
      </w:pPr>
      <w:r>
        <w:rPr>
          <w:sz w:val="20"/>
        </w:rPr>
        <w:t>Platt, J. (1999). Probabilistic outputs for support vector machines and comparisons to regularized likelihood methods. Advances in Large Margin Classifiers.</w:t>
      </w:r>
    </w:p>
    <w:p>
      <w:pPr>
        <w:spacing w:after="80"/>
        <w:ind w:left="567" w:hanging="567"/>
      </w:pPr>
      <w:r>
        <w:rPr>
          <w:sz w:val="20"/>
        </w:rPr>
        <w:t>Popov, S., Morozov, S., &amp; Babenko, A. (2020). Neural oblivious decision ensembles for deep learning on tabular data. ICLR.</w:t>
      </w:r>
    </w:p>
    <w:p>
      <w:pPr>
        <w:spacing w:after="80"/>
        <w:ind w:left="567" w:hanging="567"/>
      </w:pPr>
      <w:r>
        <w:rPr>
          <w:sz w:val="20"/>
        </w:rPr>
        <w:t>Prokhorenkova, L., Gusev, G., Vorobev, A., Dorogush, A. V., &amp; Gulin, A. (2018). CatBoost: Unbiased boosting with categorical features. NeurIPS.</w:t>
      </w:r>
    </w:p>
    <w:p>
      <w:pPr>
        <w:spacing w:after="80"/>
        <w:ind w:left="567" w:hanging="567"/>
      </w:pPr>
      <w:r>
        <w:rPr>
          <w:sz w:val="20"/>
        </w:rPr>
        <w:t>Rawal, K., &amp; Lakkaraju, H. (2020). Beyond individualized recourse: Interpretable and interactive summaries of actionable recourses. NeurIPS.</w:t>
      </w:r>
    </w:p>
    <w:p>
      <w:pPr>
        <w:spacing w:after="80"/>
        <w:ind w:left="567" w:hanging="567"/>
      </w:pPr>
      <w:r>
        <w:rPr>
          <w:sz w:val="20"/>
        </w:rPr>
        <w:t>Reboredo, J. C., &amp; Ugolini, A. (2020). Price connectedness between green bond and financial markets. Economic Modelling, 88, 25–38.</w:t>
      </w:r>
    </w:p>
    <w:p>
      <w:pPr>
        <w:spacing w:after="80"/>
        <w:ind w:left="567" w:hanging="567"/>
      </w:pPr>
      <w:r>
        <w:rPr>
          <w:sz w:val="20"/>
        </w:rPr>
        <w:t>Ribeiro, M. T., Singh, S., &amp; Guestrin, C. (2016). ‘Why should I trust you?’: Explaining the predictions of any classifier. KDD.</w:t>
      </w:r>
    </w:p>
    <w:p>
      <w:pPr>
        <w:spacing w:after="80"/>
        <w:ind w:left="567" w:hanging="567"/>
      </w:pPr>
      <w:r>
        <w:rPr>
          <w:sz w:val="20"/>
        </w:rPr>
        <w:t>Rudin, C. (2019). Stop explaining black box machine learning models for high stakes decisions and use interpretable models instead. Nature Machine Intelligence, 1, 206–215.</w:t>
      </w:r>
    </w:p>
    <w:p>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pPr>
        <w:spacing w:after="80"/>
        <w:ind w:left="567" w:hanging="567"/>
      </w:pPr>
      <w:r>
        <w:rPr>
          <w:sz w:val="20"/>
        </w:rPr>
        <w:t>Shwartz-Ziv, R., &amp; Armon, A. (2022). Tabular data: Deep learning is not all you need. Information Fusion, 81.</w:t>
      </w:r>
    </w:p>
    <w:p>
      <w:pPr>
        <w:spacing w:after="80"/>
        <w:ind w:left="567" w:hanging="567"/>
      </w:pPr>
      <w:r>
        <w:rPr>
          <w:sz w:val="20"/>
        </w:rPr>
        <w:t>Slack, D., Hilgard, S., Jia, E., Singh, S., &amp; Lakkaraju, H. (2020). Fooling LIME and SHAP: Adversarial attacks on post hoc explanation methods. AIES.</w:t>
      </w:r>
    </w:p>
    <w:p>
      <w:pPr>
        <w:spacing w:after="80"/>
        <w:ind w:left="567" w:hanging="567"/>
      </w:pPr>
      <w:r>
        <w:rPr>
          <w:sz w:val="20"/>
        </w:rPr>
        <w:t>Somepalli, G., Goldblum, M., Schwarzschild, A., Bruss, C. B., &amp; Goldstein, T. (2021). SAINT: Improved neural networks for tabular data via row attention and contrastive pre-training. arXiv:2106.01342.</w:t>
      </w:r>
    </w:p>
    <w:p>
      <w:pPr>
        <w:spacing w:after="80"/>
        <w:ind w:left="567" w:hanging="567"/>
      </w:pPr>
      <w:r>
        <w:rPr>
          <w:sz w:val="20"/>
        </w:rPr>
        <w:t>Tang, D. Y., &amp; Zhang, Y. (2020). Do shareholders benefit from green bonds? Journal of Corporate Finance, 61, 101427.</w:t>
      </w:r>
    </w:p>
    <w:p>
      <w:pPr>
        <w:spacing w:after="80"/>
        <w:ind w:left="567" w:hanging="567"/>
      </w:pPr>
      <w:r>
        <w:rPr>
          <w:sz w:val="20"/>
        </w:rPr>
        <w:t>Thomas, L. C. (2000). A survey of credit and behavioural scoring. International Journal of Forecasting, 16(2), 149–172.</w:t>
      </w:r>
    </w:p>
    <w:p>
      <w:pPr>
        <w:spacing w:after="80"/>
        <w:ind w:left="567" w:hanging="567"/>
      </w:pPr>
      <w:r>
        <w:rPr>
          <w:sz w:val="20"/>
        </w:rPr>
        <w:t>Vovk, V., Gammerman, A., &amp; Shafer, G. (2005). Algorithmic learning in a random world. Springer.</w:t>
      </w:r>
    </w:p>
    <w:p>
      <w:pPr>
        <w:spacing w:after="80"/>
        <w:ind w:left="567" w:hanging="567"/>
      </w:pPr>
      <w:r>
        <w:rPr>
          <w:sz w:val="20"/>
        </w:rPr>
        <w:t>Wachter, S., Mittelstadt, B., &amp; Russell, C. (2017). Counterfactual explanations without opening the black box: Automated decisions and the GDPR. Harvard Journal of Law &amp; Technology, 31(2).</w:t>
      </w:r>
    </w:p>
    <w:p>
      <w:pPr>
        <w:spacing w:after="80"/>
        <w:ind w:left="567" w:hanging="567"/>
      </w:pPr>
      <w:r>
        <w:rPr>
          <w:sz w:val="20"/>
        </w:rPr>
        <w:t>Wirth, R., &amp; Hipp, J. (2000). CRISP-DM: Towards a standard process model for data mining. PAKDD.</w:t>
      </w:r>
    </w:p>
    <w:p>
      <w:pPr>
        <w:spacing w:after="80"/>
        <w:ind w:left="567" w:hanging="567"/>
      </w:pPr>
      <w:r>
        <w:rPr>
          <w:sz w:val="20"/>
        </w:rPr>
        <w:t>Zadrozny, B., &amp; Elkan, C. (2002). Transforming classifier scores into accurate multiclass probability estimates. KDD.</w:t>
      </w:r>
    </w:p>
    <w:p>
      <w:pPr>
        <w:spacing w:after="80"/>
        <w:ind w:left="567" w:hanging="567"/>
      </w:pPr>
      <w:r>
        <w:rPr>
          <w:sz w:val="20"/>
        </w:rPr>
        <w:t>Zhang, B. H., Lemoine, B., &amp; Mitchell, M. (2018). Mitigating unwanted biases with adversarial learning. AIES.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