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3C98" w14:textId="77777777" w:rsidR="00BD286F" w:rsidRDefault="00000000">
      <w:pPr>
        <w:jc w:val="center"/>
      </w:pPr>
      <w:r>
        <w:rPr>
          <w:b/>
          <w:color w:val="144F32"/>
          <w:sz w:val="32"/>
        </w:rPr>
        <w:t>EMERALD-AI: An Explainable, Calibrated, and Audit-Ready</w:t>
      </w:r>
      <w:r>
        <w:rPr>
          <w:b/>
          <w:color w:val="144F32"/>
          <w:sz w:val="32"/>
        </w:rPr>
        <w:br/>
        <w:t>Machine Learning Framework for Green Loan Credit Scoring,</w:t>
      </w:r>
      <w:r>
        <w:rPr>
          <w:b/>
          <w:color w:val="144F32"/>
          <w:sz w:val="32"/>
        </w:rPr>
        <w:br/>
        <w:t>Operationalised as a Full-Stack Decision-Support Platform</w:t>
      </w:r>
    </w:p>
    <w:p w14:paraId="545296F1" w14:textId="68F65D03" w:rsidR="00BD286F" w:rsidRDefault="00000000">
      <w:pPr>
        <w:jc w:val="center"/>
      </w:pPr>
      <w:r>
        <w:rPr>
          <w:i/>
        </w:rPr>
        <w:t>MSc Applied Artificial Intelligence — Dissertation Proposal (Fourth Draft)</w:t>
      </w:r>
    </w:p>
    <w:p w14:paraId="7F7581F9" w14:textId="77777777" w:rsidR="00BD286F" w:rsidRDefault="00BD286F"/>
    <w:p w14:paraId="5A083946" w14:textId="77777777" w:rsidR="00BD286F" w:rsidRDefault="00000000">
      <w:pPr>
        <w:pStyle w:val="Heading1"/>
      </w:pPr>
      <w:r>
        <w:rPr>
          <w:color w:val="1F3A2E"/>
        </w:rPr>
        <w:t>Abstract</w:t>
      </w:r>
    </w:p>
    <w:p w14:paraId="088A0A2D" w14:textId="77777777" w:rsidR="00BD286F" w:rsidRDefault="00000000">
      <w:pPr>
        <w:jc w:val="both"/>
      </w:pPr>
      <w:r>
        <w:t>The global green loan market has grown at &gt;40% CAGR since 2018, yet credit-risk infrastructure for sustainable lending still uses scorecards designed for conventional consumer credit. Recent macro-financial evidence shows climate and clean-tech capex now enter credit-risk cycles in asset-class-specific ways [Mirza et al., 2024; Kölbel et al., 2022]. EMERALD-AI proposes an explainable, calibrated, audit-ready ML framework trained on a real 2019 dataset of 14,135 funded green-loan transactions (166 columns; 90 features retained after the leakage audit). It benchmarks six classifier families under nested CV with Bayesian HPO, integrates post-hoc calibration and split-conformal uncertainty, delivers a three-layer explainability stack with empirical fidelity validation [Quantus; Hedström et al., 2023], conducts a sociotechnically-disciplined fairness audit on industry/state/size proxies, and ships as an open-source FastAPI + React decision-support platform aligned with the EU AI Act and FCA Consumer Duty.</w:t>
      </w:r>
    </w:p>
    <w:p w14:paraId="32B5085C" w14:textId="77777777" w:rsidR="00BD286F" w:rsidRDefault="00000000">
      <w:pPr>
        <w:pStyle w:val="Heading1"/>
      </w:pPr>
      <w:r>
        <w:rPr>
          <w:color w:val="1F3A2E"/>
        </w:rPr>
        <w:t>1. Introduction</w:t>
      </w:r>
    </w:p>
    <w:p w14:paraId="660E8B1C" w14:textId="77777777" w:rsidR="00BD286F" w:rsidRDefault="00000000">
      <w:pPr>
        <w:jc w:val="both"/>
      </w:pPr>
      <w:r>
        <w:t>Green loans ring-fence proceeds for environmentally beneficial purposes — renewables, energy-efficient retrofits, clean transport, sustainable agriculture. The market has grown &gt;40% CAGR since 2018 [Loan Market Association et al., 2023]. Credit assessment, however, remains anchored to conventional scorecards built on a narrow set of indicators and poorly equipped to evaluate environmental viability, long-horizon renewable cash flows, or greenwashing exposure. The mis-pricing is empirically observable: Mirza et al. (2024) show climate and clean-tech capex alter EU credit-risk cycles; Kölbel et al. (2022) show climate-risk disclosures move CDS term structure. Lenders that fail to model the climate-credit channel carry an unquantified concentration of transition risk.</w:t>
      </w:r>
    </w:p>
    <w:p w14:paraId="56FB9B45" w14:textId="77777777" w:rsidR="00BD286F" w:rsidRDefault="00000000">
      <w:pPr>
        <w:jc w:val="both"/>
      </w:pPr>
      <w:r>
        <w:t>EMERALD-AI is an explainable, calibrated, audit-ready ML credit-scoring framework trained on 14,135 funded green-loan transactions from 2019 (166 structured variables). It is delivered alongside a production-ready full-stack web application, making the research directly usable by lending institutions rather than confined to academic output.</w:t>
      </w:r>
    </w:p>
    <w:p w14:paraId="0D8087B4" w14:textId="77777777" w:rsidR="00BD286F" w:rsidRDefault="00000000">
      <w:pPr>
        <w:pStyle w:val="Heading1"/>
      </w:pPr>
      <w:r>
        <w:rPr>
          <w:color w:val="1F3A2E"/>
        </w:rPr>
        <w:t>2. Motivation</w:t>
      </w:r>
    </w:p>
    <w:p w14:paraId="16E2AB82" w14:textId="77777777" w:rsidR="00BD286F" w:rsidRDefault="00000000">
      <w:pPr>
        <w:jc w:val="both"/>
      </w:pPr>
      <w:r>
        <w:t xml:space="preserve">Three pressures converge. Operationally, lenders re-purpose conventional scorecards on green portfolios without modelling the back-loaded, policy-sensitive cash-flow profile of green-purposed assets or the heterogeneity of ESG taxonomies [Berg, Kölbel &amp; Rigobon, 2022]. Academically, no published study on real green-loan data simultaneously delivers modern tabular benchmarking, post-hoc calibration with </w:t>
      </w:r>
      <w:r>
        <w:lastRenderedPageBreak/>
        <w:t>conformal uncertainty, multi-method XAI with empirical fidelity validation, a sociotechnically-disciplined fairness audit on green-lending proxies, an explicit reject-inference treatment, and a deployable lending-officer interface. Regulatorily, the EU AI Act (Reg. 2024/1689) places credit scoring under Annex III high-risk obligations covering risk management, data governance, transparency, human oversight, accuracy/robustness logging, and post-market monitoring; FCA Consumer Duty (PS22/9) makes outcome-based explainability obligations binding on UK lenders; and EBA/GL/2020/06 mandates sector-specific robustness and explainability for loan-originating institutions. Climate-policy alignment matters too: better-calibrated green-credit decisions improve capital allocation to genuine climate solutions [Flammer, 2021; Dafermos &amp; Nikolaidi, 2021].</w:t>
      </w:r>
    </w:p>
    <w:p w14:paraId="10DA46AA" w14:textId="77777777" w:rsidR="00BD286F" w:rsidRDefault="00000000">
      <w:pPr>
        <w:pStyle w:val="Heading1"/>
      </w:pPr>
      <w:r>
        <w:rPr>
          <w:color w:val="1F3A2E"/>
        </w:rPr>
        <w:t>3. Research Objectives and Research Questions</w:t>
      </w:r>
    </w:p>
    <w:p w14:paraId="20D59039" w14:textId="77777777" w:rsidR="00BD286F" w:rsidRDefault="00000000">
      <w:pPr>
        <w:jc w:val="both"/>
      </w:pPr>
      <w:r>
        <w:rPr>
          <w:b/>
        </w:rPr>
        <w:t>Objectives:</w:t>
      </w:r>
    </w:p>
    <w:p w14:paraId="3C0A917B" w14:textId="77777777" w:rsidR="00BD286F" w:rsidRDefault="00000000">
      <w:pPr>
        <w:pStyle w:val="ListBullet"/>
        <w:jc w:val="both"/>
      </w:pPr>
      <w:r>
        <w:t>RO1. Benchmark six classifier families (regularised LR, kernel SVM, RF, XGBoost, LightGBM, CatBoost, MLP, FT-Transformer) on real green-loan data under identical preprocessing.</w:t>
      </w:r>
    </w:p>
    <w:p w14:paraId="7C7BED0D" w14:textId="77777777" w:rsidR="00BD286F" w:rsidRDefault="00000000">
      <w:pPr>
        <w:pStyle w:val="ListBullet"/>
        <w:jc w:val="both"/>
      </w:pPr>
      <w:r>
        <w:t>RO2. Validate post-hoc calibration (Platt/isotonic/temperature) and split-conformal uncertainty against nominal coverage.</w:t>
      </w:r>
    </w:p>
    <w:p w14:paraId="394215F7" w14:textId="77777777" w:rsidR="00BD286F" w:rsidRDefault="00000000">
      <w:pPr>
        <w:pStyle w:val="ListBullet"/>
        <w:jc w:val="both"/>
      </w:pPr>
      <w:r>
        <w:t>RO3. Build a three-layer explainability stack (TreeSHAP global+local, KernelSHAP cross-check, LIME, DiCE counterfactuals) and validate via Quantus fidelity metrics.</w:t>
      </w:r>
    </w:p>
    <w:p w14:paraId="37518384" w14:textId="77777777" w:rsidR="00BD286F" w:rsidRDefault="00000000">
      <w:pPr>
        <w:pStyle w:val="ListBullet"/>
        <w:jc w:val="both"/>
      </w:pPr>
      <w:r>
        <w:t>RO4. Conduct a fairness/robustness audit on industry/state/business-size proxies aligned with EU AI Act Annex III and FCA Consumer Duty.</w:t>
      </w:r>
    </w:p>
    <w:p w14:paraId="4D2F302D" w14:textId="77777777" w:rsidR="00BD286F" w:rsidRDefault="00000000">
      <w:pPr>
        <w:pStyle w:val="ListBullet"/>
        <w:jc w:val="both"/>
      </w:pPr>
      <w:r>
        <w:t>RO5. Deploy as an open-source FastAPI + React + MLflow + Evidently platform.</w:t>
      </w:r>
    </w:p>
    <w:p w14:paraId="2658044B" w14:textId="77777777" w:rsidR="00BD286F" w:rsidRDefault="00000000">
      <w:pPr>
        <w:jc w:val="both"/>
      </w:pPr>
      <w:r>
        <w:rPr>
          <w:b/>
        </w:rPr>
        <w:t>Questions:</w:t>
      </w:r>
    </w:p>
    <w:p w14:paraId="19A971D6" w14:textId="77777777" w:rsidR="00BD286F" w:rsidRDefault="00000000">
      <w:pPr>
        <w:pStyle w:val="ListBullet"/>
        <w:jc w:val="both"/>
      </w:pPr>
      <w:r>
        <w:t>RQ1. Which classifier family wins under identical preprocessing on a real green-loan dataset, and by how much under PR-AUC, KS, and recall@top-decile?</w:t>
      </w:r>
    </w:p>
    <w:p w14:paraId="1480E840" w14:textId="77777777" w:rsidR="00BD286F" w:rsidRDefault="00000000">
      <w:pPr>
        <w:pStyle w:val="ListBullet"/>
        <w:jc w:val="both"/>
      </w:pPr>
      <w:r>
        <w:t>RQ2. Do post-hoc calibration and split-conformal coverage hold within the minority class at 0.36% empirical prevalence?</w:t>
      </w:r>
    </w:p>
    <w:p w14:paraId="305A99FF" w14:textId="77777777" w:rsidR="00BD286F" w:rsidRDefault="00000000">
      <w:pPr>
        <w:pStyle w:val="ListBullet"/>
        <w:jc w:val="both"/>
      </w:pPr>
      <w:r>
        <w:t>RQ3. Do TreeSHAP, KernelSHAP, LIME, and DiCE agree on the top contributing features per decision, and which delivers highest Quantus fidelity?</w:t>
      </w:r>
    </w:p>
    <w:p w14:paraId="1ED28EB3" w14:textId="77777777" w:rsidR="00BD286F" w:rsidRDefault="00000000">
      <w:pPr>
        <w:pStyle w:val="ListBullet"/>
        <w:jc w:val="both"/>
      </w:pPr>
      <w:r>
        <w:t>RQ4. Do disparities in demographic parity, equalised odds, predictive parity, and calibration-within-group persist across industry/state/size after audit-stage mitigations?</w:t>
      </w:r>
    </w:p>
    <w:p w14:paraId="0EB93250" w14:textId="77777777" w:rsidR="00BD286F" w:rsidRDefault="00000000">
      <w:pPr>
        <w:pStyle w:val="Heading1"/>
      </w:pPr>
      <w:r>
        <w:rPr>
          <w:color w:val="1F3A2E"/>
        </w:rPr>
        <w:t>4. Literature Review</w:t>
      </w:r>
    </w:p>
    <w:p w14:paraId="71CBCCE6" w14:textId="77777777" w:rsidR="00BD286F" w:rsidRDefault="00000000">
      <w:pPr>
        <w:jc w:val="both"/>
      </w:pPr>
      <w:r>
        <w:t>Credit scoring evolved from discriminant analysis [Altman, 1968; Beaver, 1966] through logistic regression [Hand &amp; Henley, 1997; Thomas, 2000] to statistical learning benchmarks [Baesens et al., 2003; Lessmann et al., 2015; Dumitrescu et al., 2022]. Gradient-boosted trees are the contemporary tabular state of the art [Chen &amp; Guestrin, 2016; Ke et al., 2017; Prokhorenkova et al., 2018], retaining the lead over tabular deep learning on most benchmarks [Grinsztajn et al., 2022; Shwartz-Ziv &amp; Armon, 2022], though FT-Transformer [Gorishniy et al., 2021] and TabNet [Arik &amp; Pfister, 2021] are competitive on larger or heterogeneous datasets [Borisov et al., 2022].</w:t>
      </w:r>
    </w:p>
    <w:p w14:paraId="32808958" w14:textId="77777777" w:rsidR="00BD286F" w:rsidRDefault="00000000">
      <w:pPr>
        <w:jc w:val="both"/>
      </w:pPr>
      <w:r>
        <w:lastRenderedPageBreak/>
        <w:t>Class imbalance, calibration, uncertainty, and selection bias dominate the credit-risk methodology stack. SMOTE-family resampling [Chawla et al., 2002; He et al., 2008] must be confined within CV folds to avoid leakage [Santos et al., 2018]; cost-sensitive learning and focal loss [Lin et al., 2017] are alternatives. Post-hoc calibration [Platt, 1999; Zadrozny &amp; Elkan, 2002] and conformal prediction [Vovk et al., 2005; Angelopoulos &amp; Bates, 2023] are largely absent from green-credit literature. Accepted-only selection bias [Banasik &amp; Crook, 2007] has been modernised by graph-based semi-supervised propagation [Kang et al., 2021] and three-way safe SSVMs [Shen et al., 2022], but each presupposes access to rejected applicants' features.</w:t>
      </w:r>
    </w:p>
    <w:p w14:paraId="0821BD21" w14:textId="77777777" w:rsidR="00BD286F" w:rsidRDefault="00000000">
      <w:pPr>
        <w:jc w:val="both"/>
      </w:pPr>
      <w:r>
        <w:t>Green-finance specificity matters: green-asset cash flows are back-loaded and policy-sensitive [Reboredo &amp; Ugolini, 2020; Tang &amp; Zhang, 2020]; ESG rating divergence [Berg, Kölbel &amp; Rigobon, 2022] makes definitional inputs heterogeneous; trade-credit evidence [Gan et al., 2023] and green-bond pricing studies [Flammer, 2021] supply the macro context. Standards (Green Loan Principles 2023, EU Taxonomy 2020/852, Climate Bonds Std v4) frame the definitional perimeter.</w:t>
      </w:r>
    </w:p>
    <w:p w14:paraId="11614B65" w14:textId="77777777" w:rsidR="00BD286F" w:rsidRDefault="00000000">
      <w:pPr>
        <w:jc w:val="both"/>
      </w:pPr>
      <w:r>
        <w:t>Explainability in high-stakes finance spans intrinsically interpretable models [Rudin, 2019], post-hoc local methods [Lundberg &amp; Lee, 2017; Ribeiro et al., 2016; Lundberg et al., 2020], counterfactuals [Wachter et al., 2017; Mothilal, Sharma &amp; Tan, 2020; Rawal &amp; Lakkaraju, 2020], and feature-relevance under dependence [Aas et al., 2021; Janzing et al., 2020]. Empirical fidelity must be validated, not assumed [Hedström et al., 2023]; adversarial attacks on post-hoc explainers are documented [Slack et al., 2020]. Opacity has a political-economy dimension [Burrell, 2016; Pasquale, 2015].</w:t>
      </w:r>
    </w:p>
    <w:p w14:paraId="5C962234" w14:textId="77777777" w:rsidR="00BD286F" w:rsidRDefault="00000000">
      <w:pPr>
        <w:jc w:val="both"/>
      </w:pPr>
      <w:r>
        <w:t>Fairness in classification is bound by inherent trade-offs [Kleinberg, Mullainathan &amp; Raghavan, 2017; Chouldechova, 2017]; mitigation toolkits exist at pre-, in-, and post-processing stages [Kamiran &amp; Calders, 2012; Hardt, Price &amp; Srebro, 2016; Zhang, Lemoine &amp; Mitchell, 2018; Bellamy et al., 2018]; sociotechnical critique cautions against treating fairness as a pure abstraction [Selbst et al., 2019]. Reproducibility and deployment evidence is consolidated in Pineau et al. (2021), Paleyes et al. (2022), and Nahar et al. (2022); documentation primitives include model cards [Mitchell et al., 2019], datasheets [Gebru et al., 2021], and method cards [Adkins et al., 2022].</w:t>
      </w:r>
    </w:p>
    <w:p w14:paraId="06AB0DCB" w14:textId="77777777" w:rsidR="00BD286F" w:rsidRDefault="00000000">
      <w:pPr>
        <w:jc w:val="both"/>
      </w:pPr>
      <w:r>
        <w:t>Research gap. No published study on real green-loan data simultaneously delivers all six of: modern tabular benchmarking under identical preprocessing; post-hoc calibration + conformal uncertainty; multi-method XAI with empirical fidelity validation; sociotechnically-disciplined fairness audit on green-lending proxies; explicit reject-inference treatment of accepted-only selection bias; and a deployable lending-officer interface. EMERALD-AI occupies precisely this gap.</w:t>
      </w:r>
    </w:p>
    <w:p w14:paraId="6B3CE39C" w14:textId="77777777" w:rsidR="00BD286F" w:rsidRDefault="00000000">
      <w:pPr>
        <w:pStyle w:val="Heading1"/>
      </w:pPr>
      <w:r>
        <w:rPr>
          <w:color w:val="1F3A2E"/>
        </w:rPr>
        <w:t>5. Methodology</w:t>
      </w:r>
    </w:p>
    <w:p w14:paraId="19F4C0B9" w14:textId="77777777" w:rsidR="00BD286F" w:rsidRDefault="00000000">
      <w:pPr>
        <w:pStyle w:val="Heading2"/>
      </w:pPr>
      <w:r>
        <w:rPr>
          <w:color w:val="1F3A2E"/>
        </w:rPr>
        <w:t>5.1 Research Design</w:t>
      </w:r>
    </w:p>
    <w:p w14:paraId="5D924628" w14:textId="77777777" w:rsidR="00BD286F" w:rsidRDefault="00000000">
      <w:pPr>
        <w:jc w:val="both"/>
      </w:pPr>
      <w:r>
        <w:t>Mixed-methods, positivist-pragmatist: quantitative benchmarking and statistical testing supply the headline evidence; qualitative analysis of explanations, fairness diagnostics, and deployment artefacts provides the audit trail. The workflow follows CRISP-DM [Wirth &amp; Hipp, 2000] with a regulatory-grade documentation layer (model card, datasheet, method card).</w:t>
      </w:r>
    </w:p>
    <w:p w14:paraId="4F9A5B46" w14:textId="77777777" w:rsidR="00BD286F" w:rsidRDefault="00000000">
      <w:pPr>
        <w:pStyle w:val="Heading2"/>
      </w:pPr>
      <w:r>
        <w:rPr>
          <w:color w:val="1F3A2E"/>
        </w:rPr>
        <w:lastRenderedPageBreak/>
        <w:t>5.2 Problem Formalisation, Label Construction, Selection Bias</w:t>
      </w:r>
    </w:p>
    <w:p w14:paraId="6FAC7819" w14:textId="77777777" w:rsidR="00BD286F" w:rsidRDefault="00000000">
      <w:pPr>
        <w:jc w:val="both"/>
      </w:pPr>
      <w:r>
        <w:t>Let X ∈ ℝ^d be the feature vector and Y ∈ {0,1} the binary creditworthiness indicator, Y=1 favourable (paidOff ∪ current), Y=0 delinquent (default ∪ behind). The Deal Status field provides direct supervision for 14,022 of 14,135 records (99.20% labelled coverage); the breakdown is 3,848 paidOff (27.4%) + 10,124 current (72.2%) on the favourable side, 49 default (0.35%) + 1 behind (0.01%) on the delinquent side, with 113 rows excluded for missing status. The 0.36% delinquent prevalence is a substantive empirical constraint on the modelling protocol (see §5.5). Three label-construction risks are addressed:</w:t>
      </w:r>
    </w:p>
    <w:p w14:paraId="468857F5" w14:textId="77777777" w:rsidR="00BD286F" w:rsidRDefault="00000000">
      <w:pPr>
        <w:pStyle w:val="ListBullet"/>
        <w:jc w:val="both"/>
      </w:pPr>
      <w:r>
        <w:t>Censoring bias. Current loans are right-censored — their observation window pre-dates loan-term completion, so Y=1 incorporates loans that have not yet had the opportunity to default. paidOff-only is therefore the headline robustness check; all-favourable is the optimistic comparator. Both numbers are reported.</w:t>
      </w:r>
    </w:p>
    <w:p w14:paraId="77A33C06" w14:textId="77777777" w:rsidR="00BD286F" w:rsidRDefault="00000000">
      <w:pPr>
        <w:pStyle w:val="ListBullet"/>
        <w:jc w:val="both"/>
      </w:pPr>
      <w:r>
        <w:t>Definition leakage. Post-funding fields are excluded from X; the §5.3 audit catalogues every such column.</w:t>
      </w:r>
    </w:p>
    <w:p w14:paraId="4C42B335" w14:textId="77777777" w:rsidR="00BD286F" w:rsidRDefault="00000000">
      <w:pPr>
        <w:pStyle w:val="ListBullet"/>
        <w:jc w:val="both"/>
      </w:pPr>
      <w:r>
        <w:t>Accepted-only selection bias. Banasik and Crook (2007) showed this materially biases parameter estimates; modern toolkit [Kang et al., 2021; Shen et al., 2022] requires access to rejected applicants' features, which the dataset lacks. The dissertation reports the limitation transparently and frames the model as conditional on the prior accept-policy rather than as a portable underwriting function.</w:t>
      </w:r>
    </w:p>
    <w:p w14:paraId="35E1CA00" w14:textId="77777777" w:rsidR="00BD286F" w:rsidRDefault="00000000">
      <w:pPr>
        <w:pStyle w:val="Heading2"/>
      </w:pPr>
      <w:r>
        <w:rPr>
          <w:color w:val="1F3A2E"/>
        </w:rPr>
        <w:t>5.3 Dataset Characterisation and Target-Leakage Audit</w:t>
      </w:r>
    </w:p>
    <w:p w14:paraId="320F425C" w14:textId="77777777" w:rsidR="00BD286F" w:rsidRDefault="00000000">
      <w:pPr>
        <w:jc w:val="both"/>
      </w:pPr>
      <w:r>
        <w:t>The 2019 All Funded Green Loan dataset contains 14,135 transactions × 166 columns. The leakage audit (v1.0; documented in `data/governance/datasheet.md`, `feature_catalogue.yaml`, `feature_audit_summary.md`) classifies every column into one of six categories: 23 pre-funding applicant, 15 pre-funding loan-offer, 9 structural metadata, 43 deal-progression timestamp, 28 post-funding outcome, and 48 administrative / free-text — yielding 90 permitted features and 76 forbidden. Load-bearing exclusions include Deal Status (defines Y), Term Complete Percentage and Percent Paid (encode loan maturity), the Closed/Closed TS family, and the Is Offer Received/Accepted/Published lifecycle flags. A residual mutual-information sanity check on the 90 permitted columns acts as a second-line defence.</w:t>
      </w:r>
    </w:p>
    <w:p w14:paraId="0E718D88" w14:textId="77777777" w:rsidR="00BD286F" w:rsidRDefault="00000000">
      <w:pPr>
        <w:jc w:val="both"/>
      </w:pPr>
      <w:r>
        <w:t>Transparency note. `Monthly Credit Card Charges`, treated as load-bearing in earlier scoping rounds, is 100% missing in the 2019 snapshot. Three further permitted features exceed the &gt;40% missingness drop threshold: `Term` (86.4% — also semantically overloaded with marketing text), `APR` (59.6%), `Factor` (42.0%). Eleven columns are wholly missing: App Out, 1st Online Engmnt, Used Online Experience, Closed Lenders, Monthly Credit Card Charges, Rep Type, Rep Is Active, Inactive Status, Closed By Type, Dead Status, Renewal Eligible Date. The dissertation surfaces these rather than silently dropping them.</w:t>
      </w:r>
    </w:p>
    <w:p w14:paraId="354F402C" w14:textId="77777777" w:rsidR="00BD286F" w:rsidRDefault="00000000">
      <w:pPr>
        <w:pStyle w:val="Heading2"/>
      </w:pPr>
      <w:r>
        <w:rPr>
          <w:color w:val="1F3A2E"/>
        </w:rPr>
        <w:t>5.4 EDA, Preprocessing, Feature Selection</w:t>
      </w:r>
    </w:p>
    <w:p w14:paraId="3C5DA071" w14:textId="77777777" w:rsidR="00BD286F" w:rsidRDefault="00000000">
      <w:pPr>
        <w:jc w:val="both"/>
      </w:pPr>
      <w:r>
        <w:t xml:space="preserve">EDA proceeds in three layers: univariate (distributional summaries, KS tests, categorical entropy), bivariate (Pearson/Spearman, mutual information, conditional default rates by Industry / Borrower State / Current Tier), and multivariate (PCA, UMAP, VIF). Temporal stratification (Q1–Q4 2019) plus Population Stability Index per feature detects drift. The preprocessing pipeline is a scikit-learn ColumnTransformer: Stage 1 drops features &gt;40% missing (removing Term, APR, Factor + the eleven 100%-missing columns named in §5.3), median-imputes numerics, adds explicit 'missing' categories, and appends missing-indicators where informative; Stage 2 winsorises at 1/99th percentile with sensitivity controls; Stage 3 </w:t>
      </w:r>
      <w:r>
        <w:lastRenderedPageBreak/>
        <w:t>one-hot encodes low-cardinality categoricals, target-encodes high-cardinality [Micci-Barreca, 2001]; Stage 4 scales for distance-based learners only; Stage 5 derives domain-motivated interactions (loan-to-revenue, payback-to-monthly-sales, time-to-decision). Selection is a two-stage MI-filter + Boruta-with-shadows [Kursa &amp; Rudnicki, 2010] / SHAP-importance wrapper, with 30-bootstrap stability filtering.</w:t>
      </w:r>
    </w:p>
    <w:p w14:paraId="6EE0DB53" w14:textId="77777777" w:rsidR="00BD286F" w:rsidRDefault="00000000">
      <w:pPr>
        <w:pStyle w:val="Heading2"/>
      </w:pPr>
      <w:r>
        <w:rPr>
          <w:color w:val="1F3A2E"/>
        </w:rPr>
        <w:t>5.5 Class Imbalance Strategy</w:t>
      </w:r>
    </w:p>
    <w:p w14:paraId="434AFBE8" w14:textId="77777777" w:rsidR="00BD286F" w:rsidRDefault="00000000">
      <w:pPr>
        <w:jc w:val="both"/>
      </w:pPr>
      <w:r>
        <w:t>The empirical 0.36% delinquent prevalence sits an order of magnitude below the typical 2–15% range for well-underwritten portfolios — only 50 minority observations exist. SMOTE-family oversampling interpolates between an extremely sparse seed set and risks generating off-manifold synthetic points; it is included for completeness but compared head-to-head against cost-sensitive learning (scale_pos_weight for boosters, class_weight='balanced' for linear / kernel models), focal-loss training [Lin et al., 2017], and a one-class / anomaly-detection baseline. All resampling occurs strictly within CV folds [Santos et al., 2018]. Raw accuracy is uninformative (a constant predictor scores 99.64%); PR-AUC, recall@top-decile, within-minority expected calibration error, and bootstrapped CIs over a small absolute event count are the primary headline metrics.</w:t>
      </w:r>
    </w:p>
    <w:p w14:paraId="2EAEDDC1" w14:textId="77777777" w:rsidR="00BD286F" w:rsidRDefault="00000000">
      <w:pPr>
        <w:pStyle w:val="Heading2"/>
      </w:pPr>
      <w:r>
        <w:rPr>
          <w:color w:val="1F3A2E"/>
        </w:rPr>
        <w:t>5.6 Models, Training, Calibration, Uncertainty</w:t>
      </w:r>
    </w:p>
    <w:p w14:paraId="057E133A" w14:textId="77777777" w:rsidR="00BD286F" w:rsidRDefault="00000000">
      <w:pPr>
        <w:jc w:val="both"/>
      </w:pPr>
      <w:r>
        <w:t>Six classifier families are trained: regularised logistic regression and RBF-SVM (regulatory-default baselines); Random Forest [Breiman, 2001], XGBoost [Chen &amp; Guestrin, 2016] (primary candidate, with monotonic constraints on Credit Score, Annual Revenue, Time in Business), LightGBM [Ke et al., 2017], CatBoost [Prokhorenkova et al., 2018] (tree ensembles); MLP and FT-Transformer [Gorishniy et al., 2021] (tabular deep learning). Training uses 5×10 nested stratified CV with Bayesian HPO (Optuna TPE + HyperBand [Akiba et al., 2019]). Post-hoc calibration (Platt, isotonic, temperature) is selected on a dedicated calibration split via reliability diagrams and ECE/MCE. Split-conformal prediction [Angelopoulos &amp; Bates, 2023] supplies distribution-free marginal 90% and 95% coverage; conditional coverage within minority class is explicitly stress-tested.</w:t>
      </w:r>
    </w:p>
    <w:p w14:paraId="50B450F1" w14:textId="77777777" w:rsidR="00BD286F" w:rsidRDefault="00000000">
      <w:pPr>
        <w:pStyle w:val="Heading2"/>
      </w:pPr>
      <w:r>
        <w:rPr>
          <w:color w:val="1F3A2E"/>
        </w:rPr>
        <w:t>5.7 Explainability, Fairness, Robustness Audit</w:t>
      </w:r>
    </w:p>
    <w:p w14:paraId="30920239" w14:textId="77777777" w:rsidR="00BD286F" w:rsidRDefault="00000000">
      <w:pPr>
        <w:jc w:val="both"/>
      </w:pPr>
      <w:r>
        <w:t>Three layers: global (TreeSHAP [Lundberg et al., 2020]), local (KernelSHAP + LIME), and counterfactual (DiCE [Mothilal, Sharma &amp; Tan, 2020], with Rawal &amp; Lakkaraju, 2020 for actionable-recourse summaries). Fidelity, sensitivity, robustness, and complexity are evaluated with Quantus [Hedström et al., 2023]; adversarial attacks on explainers [Slack et al., 2020] are stress-tested. Fairness audit uses AIF360 [Bellamy et al., 2018] across Industry, Borrower State, and a derived business-size proxy: demographic parity, equalised odds, predictive parity, calibration-within-group. Pre-/in-/post-processing mitigations [Kamiran &amp; Calders, 2012; Hardt et al., 2016; Zhang, Lemoine &amp; Mitchell, 2018] are compared. Stability uses 30-bootstrap selection-frequency and AUC variance; robustness uses adversarial perturbations and synthetic distribution shift [Lu et al., 2018]; ROC-curve comparison via DeLong et al. (1988).</w:t>
      </w:r>
    </w:p>
    <w:p w14:paraId="6C6C01EC" w14:textId="77777777" w:rsidR="00BD286F" w:rsidRDefault="00000000">
      <w:pPr>
        <w:pStyle w:val="Heading2"/>
      </w:pPr>
      <w:r>
        <w:rPr>
          <w:color w:val="1F3A2E"/>
        </w:rPr>
        <w:t>5.8 Evaluation, Deployment, Reproducibility, Ethics</w:t>
      </w:r>
    </w:p>
    <w:p w14:paraId="0692A3F0" w14:textId="77777777" w:rsidR="00BD286F" w:rsidRDefault="00000000">
      <w:pPr>
        <w:jc w:val="both"/>
      </w:pPr>
      <w:r>
        <w:t xml:space="preserve">Primary metric is PR-AUC; secondary metrics are KS, ROC-AUC, recall@top-decile, ECE, Brier score, conformal coverage. Deployment is a FastAPI backend + React/Vite SPA, MLflow for run tracking, Prometheus + Evidently for monitoring and drift detection — providing the post-market monitoring layer EU AI Act Article 61 anticipates. Reproducibility: uv-locked deps, DVC-tracked data, seeded RNGs, MLflow lineage, model-card + datasheet + method-card regenerated on each merge. Ethics: Warwick REC </w:t>
      </w:r>
      <w:r>
        <w:lastRenderedPageBreak/>
        <w:t>protocol; data is de-identified; no direct protected attributes — fairness audit uses indirect proxies disclosed in §5.7.</w:t>
      </w:r>
    </w:p>
    <w:p w14:paraId="42A7E290" w14:textId="77777777" w:rsidR="00BD286F" w:rsidRDefault="00000000">
      <w:pPr>
        <w:pStyle w:val="Heading1"/>
      </w:pPr>
      <w:r>
        <w:rPr>
          <w:color w:val="1F3A2E"/>
        </w:rPr>
        <w:t>6. Expected Contributions</w:t>
      </w:r>
    </w:p>
    <w:p w14:paraId="3DAB86E1" w14:textId="77777777" w:rsidR="00BD286F" w:rsidRDefault="00000000">
      <w:pPr>
        <w:pStyle w:val="ListBullet"/>
        <w:jc w:val="both"/>
      </w:pPr>
      <w:r>
        <w:t>Methodological: first integrated benchmark on real green-loan data combining identical-preprocessing comparison across six classifier families with calibration, conformal uncertainty, multi-method XAI + Quantus fidelity, sociotechnical fairness audit, and explicit reject-inference framing.</w:t>
      </w:r>
    </w:p>
    <w:p w14:paraId="78623409" w14:textId="77777777" w:rsidR="00BD286F" w:rsidRDefault="00000000">
      <w:pPr>
        <w:pStyle w:val="ListBullet"/>
        <w:jc w:val="both"/>
      </w:pPr>
      <w:r>
        <w:t>Substantive: empirical characterisation of the 2019 green-loan portfolio under extreme imbalance (0.36% delinquent), with the leakage-audit-validated 90-feature space and the documented Term/APR/Factor data-quality limitations.</w:t>
      </w:r>
    </w:p>
    <w:p w14:paraId="6A73365A" w14:textId="77777777" w:rsidR="00BD286F" w:rsidRDefault="00000000">
      <w:pPr>
        <w:pStyle w:val="ListBullet"/>
        <w:jc w:val="both"/>
      </w:pPr>
      <w:r>
        <w:t>Practical: open-source MLOps-grade reference implementation (EMERALD-AI web app) lending institutions can adapt, plus a regulator-ready audit template mapped to EU AI Act Annex III and FCA Consumer Duty.</w:t>
      </w:r>
    </w:p>
    <w:p w14:paraId="60F908EA" w14:textId="77777777" w:rsidR="00BD286F" w:rsidRDefault="00000000">
      <w:pPr>
        <w:pStyle w:val="Heading1"/>
      </w:pPr>
      <w:r>
        <w:rPr>
          <w:color w:val="1F3A2E"/>
        </w:rPr>
        <w:t>7. Project Plan (16 Weeks)</w:t>
      </w:r>
    </w:p>
    <w:tbl>
      <w:tblPr>
        <w:tblStyle w:val="LightGrid-Accent1"/>
        <w:tblW w:w="0" w:type="auto"/>
        <w:tblLook w:val="04A0" w:firstRow="1" w:lastRow="0" w:firstColumn="1" w:lastColumn="0" w:noHBand="0" w:noVBand="1"/>
      </w:tblPr>
      <w:tblGrid>
        <w:gridCol w:w="3173"/>
        <w:gridCol w:w="3173"/>
        <w:gridCol w:w="3173"/>
      </w:tblGrid>
      <w:tr w:rsidR="00BD286F" w14:paraId="2E7BE5EA" w14:textId="77777777" w:rsidTr="00BD2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4CD7DA44" w14:textId="77777777" w:rsidR="00BD286F" w:rsidRDefault="00000000">
            <w:r>
              <w:rPr>
                <w:sz w:val="20"/>
              </w:rPr>
              <w:t>Weeks</w:t>
            </w:r>
          </w:p>
        </w:tc>
        <w:tc>
          <w:tcPr>
            <w:tcW w:w="3173" w:type="dxa"/>
          </w:tcPr>
          <w:p w14:paraId="0FDD33B4" w14:textId="77777777" w:rsidR="00BD286F" w:rsidRDefault="00000000">
            <w:pPr>
              <w:cnfStyle w:val="100000000000" w:firstRow="1" w:lastRow="0" w:firstColumn="0" w:lastColumn="0" w:oddVBand="0" w:evenVBand="0" w:oddHBand="0" w:evenHBand="0" w:firstRowFirstColumn="0" w:firstRowLastColumn="0" w:lastRowFirstColumn="0" w:lastRowLastColumn="0"/>
            </w:pPr>
            <w:r>
              <w:rPr>
                <w:sz w:val="20"/>
              </w:rPr>
              <w:t>Workstream</w:t>
            </w:r>
          </w:p>
        </w:tc>
        <w:tc>
          <w:tcPr>
            <w:tcW w:w="3173" w:type="dxa"/>
          </w:tcPr>
          <w:p w14:paraId="3415416E" w14:textId="77777777" w:rsidR="00BD286F" w:rsidRDefault="00000000">
            <w:pPr>
              <w:cnfStyle w:val="100000000000" w:firstRow="1" w:lastRow="0" w:firstColumn="0" w:lastColumn="0" w:oddVBand="0" w:evenVBand="0" w:oddHBand="0" w:evenHBand="0" w:firstRowFirstColumn="0" w:firstRowLastColumn="0" w:lastRowFirstColumn="0" w:lastRowLastColumn="0"/>
            </w:pPr>
            <w:r>
              <w:rPr>
                <w:sz w:val="20"/>
              </w:rPr>
              <w:t>Key Deliverables</w:t>
            </w:r>
          </w:p>
        </w:tc>
      </w:tr>
      <w:tr w:rsidR="00BD286F" w14:paraId="76454F97" w14:textId="77777777" w:rsidTr="00BD2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62300A63" w14:textId="77777777" w:rsidR="00BD286F" w:rsidRDefault="00000000">
            <w:r>
              <w:rPr>
                <w:sz w:val="20"/>
              </w:rPr>
              <w:t>1–2</w:t>
            </w:r>
          </w:p>
        </w:tc>
        <w:tc>
          <w:tcPr>
            <w:tcW w:w="3173" w:type="dxa"/>
          </w:tcPr>
          <w:p w14:paraId="680B63A2"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Setup</w:t>
            </w:r>
          </w:p>
        </w:tc>
        <w:tc>
          <w:tcPr>
            <w:tcW w:w="3173" w:type="dxa"/>
          </w:tcPr>
          <w:p w14:paraId="17FA3EBB"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Literature scan, data access, environment + CI, ethics approval</w:t>
            </w:r>
          </w:p>
        </w:tc>
      </w:tr>
      <w:tr w:rsidR="00BD286F" w14:paraId="7942DDE7" w14:textId="77777777" w:rsidTr="00BD28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5C0B54E1" w14:textId="77777777" w:rsidR="00BD286F" w:rsidRDefault="00000000">
            <w:r>
              <w:rPr>
                <w:sz w:val="20"/>
              </w:rPr>
              <w:t>3–4</w:t>
            </w:r>
          </w:p>
        </w:tc>
        <w:tc>
          <w:tcPr>
            <w:tcW w:w="3173" w:type="dxa"/>
          </w:tcPr>
          <w:p w14:paraId="39C433D9"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Data understanding</w:t>
            </w:r>
          </w:p>
        </w:tc>
        <w:tc>
          <w:tcPr>
            <w:tcW w:w="3173" w:type="dxa"/>
          </w:tcPr>
          <w:p w14:paraId="3705EC31"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EDA report, leakage audit, datasheet, feature catalogue</w:t>
            </w:r>
          </w:p>
        </w:tc>
      </w:tr>
      <w:tr w:rsidR="00BD286F" w14:paraId="0424A21B" w14:textId="77777777" w:rsidTr="00BD2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1547D969" w14:textId="77777777" w:rsidR="00BD286F" w:rsidRDefault="00000000">
            <w:r>
              <w:rPr>
                <w:sz w:val="20"/>
              </w:rPr>
              <w:t>5–7</w:t>
            </w:r>
          </w:p>
        </w:tc>
        <w:tc>
          <w:tcPr>
            <w:tcW w:w="3173" w:type="dxa"/>
          </w:tcPr>
          <w:p w14:paraId="006C599B"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Data preparation</w:t>
            </w:r>
          </w:p>
        </w:tc>
        <w:tc>
          <w:tcPr>
            <w:tcW w:w="3173" w:type="dxa"/>
          </w:tcPr>
          <w:p w14:paraId="57B63539"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Preprocessing pipeline, feature engineering, imbalance experiments</w:t>
            </w:r>
          </w:p>
        </w:tc>
      </w:tr>
      <w:tr w:rsidR="00BD286F" w14:paraId="2010060C" w14:textId="77777777" w:rsidTr="00BD28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0C6B8EF3" w14:textId="77777777" w:rsidR="00BD286F" w:rsidRDefault="00000000">
            <w:r>
              <w:rPr>
                <w:sz w:val="20"/>
              </w:rPr>
              <w:t>8–10</w:t>
            </w:r>
          </w:p>
        </w:tc>
        <w:tc>
          <w:tcPr>
            <w:tcW w:w="3173" w:type="dxa"/>
          </w:tcPr>
          <w:p w14:paraId="1557A90B"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Modelling</w:t>
            </w:r>
          </w:p>
        </w:tc>
        <w:tc>
          <w:tcPr>
            <w:tcW w:w="3173" w:type="dxa"/>
          </w:tcPr>
          <w:p w14:paraId="5EFCB747"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Nested CV + Bayesian HPO across six families; statistical comparison</w:t>
            </w:r>
          </w:p>
        </w:tc>
      </w:tr>
      <w:tr w:rsidR="00BD286F" w14:paraId="721E1001" w14:textId="77777777" w:rsidTr="00BD2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21C4B960" w14:textId="77777777" w:rsidR="00BD286F" w:rsidRDefault="00000000">
            <w:r>
              <w:rPr>
                <w:sz w:val="20"/>
              </w:rPr>
              <w:t>11</w:t>
            </w:r>
          </w:p>
        </w:tc>
        <w:tc>
          <w:tcPr>
            <w:tcW w:w="3173" w:type="dxa"/>
          </w:tcPr>
          <w:p w14:paraId="13086880"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Calibration &amp; uncertainty</w:t>
            </w:r>
          </w:p>
        </w:tc>
        <w:tc>
          <w:tcPr>
            <w:tcW w:w="3173" w:type="dxa"/>
          </w:tcPr>
          <w:p w14:paraId="449DBB0F"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Reliability diagrams, calibrator selection, conformal intervals</w:t>
            </w:r>
          </w:p>
        </w:tc>
      </w:tr>
      <w:tr w:rsidR="00BD286F" w14:paraId="176BEA03" w14:textId="77777777" w:rsidTr="00BD28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0658E33D" w14:textId="77777777" w:rsidR="00BD286F" w:rsidRDefault="00000000">
            <w:r>
              <w:rPr>
                <w:sz w:val="20"/>
              </w:rPr>
              <w:t>12–13</w:t>
            </w:r>
          </w:p>
        </w:tc>
        <w:tc>
          <w:tcPr>
            <w:tcW w:w="3173" w:type="dxa"/>
          </w:tcPr>
          <w:p w14:paraId="1B124BCB"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3173" w:type="dxa"/>
          </w:tcPr>
          <w:p w14:paraId="27F259CE"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Explainability + Quantus fidelity; fairness/stability/robustness; method card</w:t>
            </w:r>
          </w:p>
        </w:tc>
      </w:tr>
      <w:tr w:rsidR="00BD286F" w14:paraId="2A1BA04C" w14:textId="77777777" w:rsidTr="00BD2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21FD3515" w14:textId="77777777" w:rsidR="00BD286F" w:rsidRDefault="00000000">
            <w:r>
              <w:rPr>
                <w:sz w:val="20"/>
              </w:rPr>
              <w:t>14–15</w:t>
            </w:r>
          </w:p>
        </w:tc>
        <w:tc>
          <w:tcPr>
            <w:tcW w:w="3173" w:type="dxa"/>
          </w:tcPr>
          <w:p w14:paraId="09EA1EC1"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Deployment</w:t>
            </w:r>
          </w:p>
        </w:tc>
        <w:tc>
          <w:tcPr>
            <w:tcW w:w="3173" w:type="dxa"/>
          </w:tcPr>
          <w:p w14:paraId="75AA8776" w14:textId="77777777" w:rsidR="00BD286F" w:rsidRDefault="00000000">
            <w:pPr>
              <w:cnfStyle w:val="000000100000" w:firstRow="0" w:lastRow="0" w:firstColumn="0" w:lastColumn="0" w:oddVBand="0" w:evenVBand="0" w:oddHBand="1" w:evenHBand="0" w:firstRowFirstColumn="0" w:firstRowLastColumn="0" w:lastRowFirstColumn="0" w:lastRowLastColumn="0"/>
            </w:pPr>
            <w:r>
              <w:rPr>
                <w:sz w:val="20"/>
              </w:rPr>
              <w:t>Web application, MLOps integration, user-acceptance evaluation</w:t>
            </w:r>
          </w:p>
        </w:tc>
      </w:tr>
      <w:tr w:rsidR="00BD286F" w14:paraId="3F3F6A20" w14:textId="77777777" w:rsidTr="00BD28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Pr>
          <w:p w14:paraId="00E142C7" w14:textId="77777777" w:rsidR="00BD286F" w:rsidRDefault="00000000">
            <w:r>
              <w:rPr>
                <w:sz w:val="20"/>
              </w:rPr>
              <w:t>16</w:t>
            </w:r>
          </w:p>
        </w:tc>
        <w:tc>
          <w:tcPr>
            <w:tcW w:w="3173" w:type="dxa"/>
          </w:tcPr>
          <w:p w14:paraId="5CCB847D"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Submission</w:t>
            </w:r>
          </w:p>
        </w:tc>
        <w:tc>
          <w:tcPr>
            <w:tcW w:w="3173" w:type="dxa"/>
          </w:tcPr>
          <w:p w14:paraId="06A69219" w14:textId="77777777" w:rsidR="00BD286F" w:rsidRDefault="00000000">
            <w:pPr>
              <w:cnfStyle w:val="000000010000" w:firstRow="0" w:lastRow="0" w:firstColumn="0" w:lastColumn="0" w:oddVBand="0" w:evenVBand="0" w:oddHBand="0" w:evenHBand="1" w:firstRowFirstColumn="0" w:firstRowLastColumn="0" w:lastRowFirstColumn="0" w:lastRowLastColumn="0"/>
            </w:pPr>
            <w:r>
              <w:rPr>
                <w:sz w:val="20"/>
              </w:rPr>
              <w:t>Dissertation write-up; model card + datasheet finalisation; open-source release</w:t>
            </w:r>
          </w:p>
        </w:tc>
      </w:tr>
    </w:tbl>
    <w:p w14:paraId="7ED72B6F" w14:textId="77777777" w:rsidR="00BD286F" w:rsidRDefault="00000000">
      <w:pPr>
        <w:pStyle w:val="Heading1"/>
      </w:pPr>
      <w:r>
        <w:rPr>
          <w:color w:val="1F3A2E"/>
        </w:rPr>
        <w:t>8. Scope Boundaries and Future Work</w:t>
      </w:r>
    </w:p>
    <w:p w14:paraId="1FAA2B0D" w14:textId="77777777" w:rsidR="00BD286F" w:rsidRDefault="00000000">
      <w:pPr>
        <w:jc w:val="both"/>
      </w:pPr>
      <w:r>
        <w:t xml:space="preserve">Out-of-scope but recorded as future work: federated and decentralised credit scoring, differential-privacy guarantees on per-applicant attributions, secure multi-party computation for cross-lender pooling, survival-analytic time-to-default modelling, and online / continual learning under regulatory-grade post-market monitoring. The reject-inference treatment is bounded by data availability: the dataset contains only funded loans, so the full toolkit [Banasik &amp; Crook, 2007; Kang et al., 2021; Shen et al., 2022] cannot </w:t>
      </w:r>
      <w:r>
        <w:lastRenderedPageBreak/>
        <w:t>be exercised end-to-end and is documented as a stipulated requirement of any production deployment rather than a deliverable of this work.</w:t>
      </w:r>
    </w:p>
    <w:p w14:paraId="5E425096" w14:textId="77777777" w:rsidR="00BD286F" w:rsidRDefault="00000000">
      <w:r>
        <w:br w:type="page"/>
      </w:r>
    </w:p>
    <w:p w14:paraId="311A738B" w14:textId="77777777" w:rsidR="00BD286F" w:rsidRDefault="00000000">
      <w:pPr>
        <w:pStyle w:val="Heading1"/>
      </w:pPr>
      <w:r>
        <w:rPr>
          <w:color w:val="1F3A2E"/>
        </w:rPr>
        <w:lastRenderedPageBreak/>
        <w:t>9. References</w:t>
      </w:r>
    </w:p>
    <w:p w14:paraId="5ECF684C" w14:textId="77777777" w:rsidR="00BD286F" w:rsidRDefault="00000000">
      <w:pPr>
        <w:jc w:val="both"/>
      </w:pPr>
      <w:r>
        <w:rPr>
          <w:i/>
        </w:rPr>
        <w:t>Carried forward unchanged from v0.4 full draft (74 entries). The condensed body cites a subset; the full list is retained for the supervisor-facing version's evidence chain.</w:t>
      </w:r>
    </w:p>
    <w:p w14:paraId="55E10C6A" w14:textId="77777777" w:rsidR="00BD286F" w:rsidRDefault="00000000">
      <w:pPr>
        <w:spacing w:after="80"/>
        <w:ind w:left="567" w:hanging="567"/>
      </w:pPr>
      <w:r>
        <w:rPr>
          <w:sz w:val="20"/>
        </w:rPr>
        <w:t>Aas, K., Jullum, M., &amp; Løland, A. (2021). Explaining individual predictions when features are dependent. Artificial Intelligence, 298, 103502.</w:t>
      </w:r>
    </w:p>
    <w:p w14:paraId="35A6326C" w14:textId="77777777" w:rsidR="00BD286F" w:rsidRDefault="00000000">
      <w:pPr>
        <w:spacing w:after="80"/>
        <w:ind w:left="567" w:hanging="567"/>
      </w:pPr>
      <w:r>
        <w:rPr>
          <w:sz w:val="20"/>
        </w:rPr>
        <w:t>Adkins, D., Alsallakh, B., Cheema, A., Kokhlikyan, N., McReynolds, E., Mishra, P., Procope, C., Sawruk, J., Wang, E., &amp; Zvyagina, P. (2022). Method cards for prescriptive machine-learning transparency. ACM EAAMO.</w:t>
      </w:r>
    </w:p>
    <w:p w14:paraId="43E93300" w14:textId="77777777" w:rsidR="00BD286F" w:rsidRDefault="00000000">
      <w:pPr>
        <w:spacing w:after="80"/>
        <w:ind w:left="567" w:hanging="567"/>
      </w:pPr>
      <w:r>
        <w:rPr>
          <w:sz w:val="20"/>
        </w:rPr>
        <w:t>Akiba, T., Sano, S., Yanase, T., Ohta, T., &amp; Koyama, M. (2019). Optuna: A next-generation hyperparameter optimization framework. KDD.</w:t>
      </w:r>
    </w:p>
    <w:p w14:paraId="645651B4" w14:textId="77777777" w:rsidR="00BD286F" w:rsidRDefault="00000000">
      <w:pPr>
        <w:spacing w:after="80"/>
        <w:ind w:left="567" w:hanging="567"/>
      </w:pPr>
      <w:r>
        <w:rPr>
          <w:sz w:val="20"/>
        </w:rPr>
        <w:t>Altman, E. I. (1968). Financial ratios, discriminant analysis and the prediction of corporate bankruptcy. Journal of Finance, 23(4), 589–609.</w:t>
      </w:r>
    </w:p>
    <w:p w14:paraId="5E8943E6" w14:textId="77777777" w:rsidR="00BD286F" w:rsidRDefault="00000000">
      <w:pPr>
        <w:spacing w:after="80"/>
        <w:ind w:left="567" w:hanging="567"/>
      </w:pPr>
      <w:r>
        <w:rPr>
          <w:sz w:val="20"/>
        </w:rPr>
        <w:t>Angelopoulos, A. N., &amp; Bates, S. (2023). Conformal prediction: A gentle introduction. Foundations and Trends in ML, 16(4).</w:t>
      </w:r>
    </w:p>
    <w:p w14:paraId="52FEC2C5" w14:textId="77777777" w:rsidR="00BD286F" w:rsidRDefault="00000000">
      <w:pPr>
        <w:spacing w:after="80"/>
        <w:ind w:left="567" w:hanging="567"/>
      </w:pPr>
      <w:r>
        <w:rPr>
          <w:sz w:val="20"/>
        </w:rPr>
        <w:t>Arik, S. Ö., &amp; Pfister, T. (2021). TabNet: Attentive interpretable tabular learning. AAAI.</w:t>
      </w:r>
    </w:p>
    <w:p w14:paraId="1282CED8" w14:textId="77777777" w:rsidR="00BD286F" w:rsidRDefault="00000000">
      <w:pPr>
        <w:spacing w:after="80"/>
        <w:ind w:left="567" w:hanging="567"/>
      </w:pPr>
      <w:r>
        <w:rPr>
          <w:sz w:val="20"/>
        </w:rPr>
        <w:t>Baesens, B., Van Gestel, T., Viaene, S., Stepanova, M., Suykens, J., &amp; Vanthienen, J. (2003). Benchmarking state-of-the-art classification algorithms for credit scoring. Journal of the Operational Research Society, 54(6), 627–635.</w:t>
      </w:r>
    </w:p>
    <w:p w14:paraId="3F45EEB0" w14:textId="77777777" w:rsidR="00BD286F" w:rsidRDefault="00000000">
      <w:pPr>
        <w:spacing w:after="80"/>
        <w:ind w:left="567" w:hanging="567"/>
      </w:pPr>
      <w:r>
        <w:rPr>
          <w:sz w:val="20"/>
        </w:rPr>
        <w:t>Banasik, J., &amp; Crook, J. (2007). Reject inference, augmentation, and sample selection. European Journal of Operational Research, 183(3), 1582–1594.</w:t>
      </w:r>
    </w:p>
    <w:p w14:paraId="78E2B4F2" w14:textId="77777777" w:rsidR="00BD286F" w:rsidRDefault="00000000">
      <w:pPr>
        <w:spacing w:after="80"/>
        <w:ind w:left="567" w:hanging="567"/>
      </w:pPr>
      <w:r>
        <w:rPr>
          <w:sz w:val="20"/>
        </w:rPr>
        <w:t>Beaver, W. H. (1966). Financial ratios as predictors of failure. Journal of Accounting Research, 4, 71–111.</w:t>
      </w:r>
    </w:p>
    <w:p w14:paraId="2C448E0B" w14:textId="77777777" w:rsidR="00BD286F" w:rsidRDefault="00000000">
      <w:pPr>
        <w:spacing w:after="80"/>
        <w:ind w:left="567" w:hanging="567"/>
      </w:pPr>
      <w:r>
        <w:rPr>
          <w:sz w:val="20"/>
        </w:rPr>
        <w:t>Bellamy, R. K. E., et al. (2018). AI Fairness 360: An extensible toolkit for detecting, understanding, and mitigating unwanted algorithmic bias. IBM Journal of R&amp;D, 63(4/5).</w:t>
      </w:r>
    </w:p>
    <w:p w14:paraId="5D0A05A6" w14:textId="77777777" w:rsidR="00BD286F" w:rsidRDefault="00000000">
      <w:pPr>
        <w:spacing w:after="80"/>
        <w:ind w:left="567" w:hanging="567"/>
      </w:pPr>
      <w:r>
        <w:rPr>
          <w:sz w:val="20"/>
        </w:rPr>
        <w:t>Berg, F., Kölbel, J. F., &amp; Rigobon, R. (2022). Aggregate confusion: The divergence of ESG ratings. Review of Finance, 26(6), 1315–1344.</w:t>
      </w:r>
    </w:p>
    <w:p w14:paraId="6487A059" w14:textId="77777777" w:rsidR="00BD286F" w:rsidRDefault="00000000">
      <w:pPr>
        <w:spacing w:after="80"/>
        <w:ind w:left="567" w:hanging="567"/>
      </w:pPr>
      <w:r>
        <w:rPr>
          <w:sz w:val="20"/>
        </w:rPr>
        <w:t>Borisov, V., Leemann, T., et al. (2022). Deep neural networks and tabular data: A survey. IEEE Transactions on Neural Networks and Learning Systems.</w:t>
      </w:r>
    </w:p>
    <w:p w14:paraId="421F5784" w14:textId="77777777" w:rsidR="00BD286F" w:rsidRDefault="00000000">
      <w:pPr>
        <w:spacing w:after="80"/>
        <w:ind w:left="567" w:hanging="567"/>
      </w:pPr>
      <w:r>
        <w:rPr>
          <w:sz w:val="20"/>
        </w:rPr>
        <w:t>Breiman, L. (2001). Random forests. Machine Learning, 45(1), 5–32.</w:t>
      </w:r>
    </w:p>
    <w:p w14:paraId="476D2CFB" w14:textId="77777777" w:rsidR="00BD286F" w:rsidRDefault="00000000">
      <w:pPr>
        <w:spacing w:after="80"/>
        <w:ind w:left="567" w:hanging="567"/>
      </w:pPr>
      <w:r>
        <w:rPr>
          <w:sz w:val="20"/>
        </w:rPr>
        <w:t>Burrell, J. (2016). How the machine 'thinks': Understanding opacity in machine learning algorithms. Big Data &amp; Society, 3(1), 1–12.</w:t>
      </w:r>
    </w:p>
    <w:p w14:paraId="426384B5" w14:textId="77777777" w:rsidR="00BD286F" w:rsidRDefault="00000000">
      <w:pPr>
        <w:spacing w:after="80"/>
        <w:ind w:left="567" w:hanging="567"/>
      </w:pPr>
      <w:r>
        <w:rPr>
          <w:sz w:val="20"/>
        </w:rPr>
        <w:t>Chawla, N. V., Bowyer, K. W., Hall, L. O., &amp; Kegelmeyer, W. P. (2002). SMOTE: Synthetic minority over-sampling technique. JAIR, 16, 321–357.</w:t>
      </w:r>
    </w:p>
    <w:p w14:paraId="7EE6E054" w14:textId="77777777" w:rsidR="00BD286F" w:rsidRDefault="00000000">
      <w:pPr>
        <w:spacing w:after="80"/>
        <w:ind w:left="567" w:hanging="567"/>
      </w:pPr>
      <w:r>
        <w:rPr>
          <w:sz w:val="20"/>
        </w:rPr>
        <w:t>Chen, T., &amp; Guestrin, C. (2016). XGBoost: A scalable tree boosting system. KDD.</w:t>
      </w:r>
    </w:p>
    <w:p w14:paraId="7A38E8C7" w14:textId="77777777" w:rsidR="00BD286F" w:rsidRDefault="00000000">
      <w:pPr>
        <w:spacing w:after="80"/>
        <w:ind w:left="567" w:hanging="567"/>
      </w:pPr>
      <w:r>
        <w:rPr>
          <w:sz w:val="20"/>
        </w:rPr>
        <w:t>Chouldechova, A. (2017). Fair prediction with disparate impact: A study of bias in recidivism prediction instruments. Big Data, 5(2), 153–163.</w:t>
      </w:r>
    </w:p>
    <w:p w14:paraId="74471AA4" w14:textId="77777777" w:rsidR="00BD286F" w:rsidRDefault="00000000">
      <w:pPr>
        <w:spacing w:after="80"/>
        <w:ind w:left="567" w:hanging="567"/>
      </w:pPr>
      <w:r>
        <w:rPr>
          <w:sz w:val="20"/>
        </w:rPr>
        <w:t>Climate Bonds Initiative. (2023). Climate Bonds Standard v4.</w:t>
      </w:r>
    </w:p>
    <w:p w14:paraId="66D60B9F" w14:textId="77777777" w:rsidR="00BD286F" w:rsidRDefault="00000000">
      <w:pPr>
        <w:spacing w:after="80"/>
        <w:ind w:left="567" w:hanging="567"/>
      </w:pPr>
      <w:r>
        <w:rPr>
          <w:sz w:val="20"/>
        </w:rPr>
        <w:t>Dafermos, Y., &amp; Nikolaidi, M. (2021). How can green differentiated capital requirements affect climate risks? A dynamic macrofinancial analysis. Journal of Financial Stability, 54, 100871.</w:t>
      </w:r>
    </w:p>
    <w:p w14:paraId="3C88D151" w14:textId="77777777" w:rsidR="00BD286F" w:rsidRDefault="00000000">
      <w:pPr>
        <w:spacing w:after="80"/>
        <w:ind w:left="567" w:hanging="567"/>
      </w:pPr>
      <w:r>
        <w:rPr>
          <w:sz w:val="20"/>
        </w:rPr>
        <w:t>DeLong, E. R., DeLong, D. M., &amp; Clarke-Pearson, D. L. (1988). Comparing the areas under two or more correlated ROC curves. Biometrics, 44(3), 837–845.</w:t>
      </w:r>
    </w:p>
    <w:p w14:paraId="67D2E23F" w14:textId="77777777" w:rsidR="00BD286F" w:rsidRDefault="00000000">
      <w:pPr>
        <w:spacing w:after="80"/>
        <w:ind w:left="567" w:hanging="567"/>
      </w:pPr>
      <w:r>
        <w:rPr>
          <w:sz w:val="20"/>
        </w:rPr>
        <w:lastRenderedPageBreak/>
        <w:t>Dumitrescu, E., Hue, S., Hurlin, C., &amp; Tokpavi, S. (2022). Machine learning for credit scoring: Improving logistic regression with non-linear decision-tree effects. EJOR, 297(3), 1178–1192.</w:t>
      </w:r>
    </w:p>
    <w:p w14:paraId="203E7237" w14:textId="77777777" w:rsidR="00BD286F" w:rsidRDefault="00000000">
      <w:pPr>
        <w:spacing w:after="80"/>
        <w:ind w:left="567" w:hanging="567"/>
      </w:pPr>
      <w:r>
        <w:rPr>
          <w:sz w:val="20"/>
        </w:rPr>
        <w:t>Ehlers, T., &amp; Packer, F. (2017). Green bond finance and certification. BIS Quarterly Review, September 2017.</w:t>
      </w:r>
    </w:p>
    <w:p w14:paraId="16B06DF7" w14:textId="77777777" w:rsidR="00BD286F" w:rsidRDefault="00000000">
      <w:pPr>
        <w:spacing w:after="80"/>
        <w:ind w:left="567" w:hanging="567"/>
      </w:pPr>
      <w:r>
        <w:rPr>
          <w:sz w:val="20"/>
        </w:rPr>
        <w:t>European Banking Authority. (2020). Guidelines on loan origination and monitoring (EBA/GL/2020/06).</w:t>
      </w:r>
    </w:p>
    <w:p w14:paraId="0977693C" w14:textId="77777777" w:rsidR="00BD286F" w:rsidRDefault="00000000">
      <w:pPr>
        <w:spacing w:after="80"/>
        <w:ind w:left="567" w:hanging="567"/>
      </w:pPr>
      <w:r>
        <w:rPr>
          <w:sz w:val="20"/>
        </w:rPr>
        <w:t>European Commission. (2020). Regulation (EU) 2020/852 on the establishment of a framework to facilitate sustainable investment (Taxonomy Regulation).</w:t>
      </w:r>
    </w:p>
    <w:p w14:paraId="450CE7BB" w14:textId="77777777" w:rsidR="00BD286F" w:rsidRDefault="00000000">
      <w:pPr>
        <w:spacing w:after="80"/>
        <w:ind w:left="567" w:hanging="567"/>
      </w:pPr>
      <w:r>
        <w:rPr>
          <w:sz w:val="20"/>
        </w:rPr>
        <w:t>European Commission. (2021). Proposal for a Regulation laying down harmonised rules on artificial intelligence (Artificial Intelligence Act). COM/2021/206 final.</w:t>
      </w:r>
    </w:p>
    <w:p w14:paraId="1B22CEF9" w14:textId="77777777" w:rsidR="00BD286F" w:rsidRDefault="00000000">
      <w:pPr>
        <w:spacing w:after="80"/>
        <w:ind w:left="567" w:hanging="567"/>
      </w:pPr>
      <w:r>
        <w:rPr>
          <w:sz w:val="20"/>
        </w:rPr>
        <w:t>Financial Conduct Authority. (2022). Consumer Duty: Final rules and guidance. Policy Statement PS22/9.</w:t>
      </w:r>
    </w:p>
    <w:p w14:paraId="216AD85D" w14:textId="77777777" w:rsidR="00BD286F" w:rsidRDefault="00000000">
      <w:pPr>
        <w:spacing w:after="80"/>
        <w:ind w:left="567" w:hanging="567"/>
      </w:pPr>
      <w:r>
        <w:rPr>
          <w:sz w:val="20"/>
        </w:rPr>
        <w:t>Flammer, C. (2021). Corporate green bonds. Journal of Financial Economics, 142(2), 499–516.</w:t>
      </w:r>
    </w:p>
    <w:p w14:paraId="1AFB1A37" w14:textId="77777777" w:rsidR="00BD286F" w:rsidRDefault="00000000">
      <w:pPr>
        <w:spacing w:after="80"/>
        <w:ind w:left="567" w:hanging="567"/>
      </w:pPr>
      <w:r>
        <w:rPr>
          <w:sz w:val="20"/>
        </w:rPr>
        <w:t>Gan, X. D., Zheng, X. Y., Li, C. C., &amp; Zhu, G. Q. (2023). Green bond issuance and trade credit access: Evidence from Chinese bond market. Finance Research Letters, 58, 104842.</w:t>
      </w:r>
    </w:p>
    <w:p w14:paraId="2E296CD3" w14:textId="77777777" w:rsidR="00BD286F" w:rsidRDefault="00000000">
      <w:pPr>
        <w:spacing w:after="80"/>
        <w:ind w:left="567" w:hanging="567"/>
      </w:pPr>
      <w:r>
        <w:rPr>
          <w:sz w:val="20"/>
        </w:rPr>
        <w:t>Gebru, T., Morgenstern, J., et al. (2021). Datasheets for datasets. Communications of the ACM, 64(12), 86–92.</w:t>
      </w:r>
    </w:p>
    <w:p w14:paraId="0640A104" w14:textId="77777777" w:rsidR="00BD286F" w:rsidRDefault="00000000">
      <w:pPr>
        <w:spacing w:after="80"/>
        <w:ind w:left="567" w:hanging="567"/>
      </w:pPr>
      <w:r>
        <w:rPr>
          <w:sz w:val="20"/>
        </w:rPr>
        <w:t>Gorishniy, Y., Rubachev, I., Khrulkov, V., &amp; Babenko, A. (2021). Revisiting deep learning models for tabular data. NeurIPS.</w:t>
      </w:r>
    </w:p>
    <w:p w14:paraId="786DB911" w14:textId="77777777" w:rsidR="00BD286F" w:rsidRDefault="00000000">
      <w:pPr>
        <w:spacing w:after="80"/>
        <w:ind w:left="567" w:hanging="567"/>
      </w:pPr>
      <w:r>
        <w:rPr>
          <w:sz w:val="20"/>
        </w:rPr>
        <w:t>Grinsztajn, L., Oyallon, E., &amp; Varoquaux, G. (2022). Why do tree-based models still outperform deep learning on tabular data? NeurIPS Datasets and Benchmarks.</w:t>
      </w:r>
    </w:p>
    <w:p w14:paraId="2461BE3C" w14:textId="77777777" w:rsidR="00BD286F" w:rsidRDefault="00000000">
      <w:pPr>
        <w:spacing w:after="80"/>
        <w:ind w:left="567" w:hanging="567"/>
      </w:pPr>
      <w:r>
        <w:rPr>
          <w:sz w:val="20"/>
        </w:rPr>
        <w:t>Hand, D. J., &amp; Henley, W. E. (1997). Statistical classification methods in consumer credit scoring: A review. Journal of the Royal Statistical Society A, 160(3), 523–541.</w:t>
      </w:r>
    </w:p>
    <w:p w14:paraId="54CBBD6A" w14:textId="77777777" w:rsidR="00BD286F" w:rsidRDefault="00000000">
      <w:pPr>
        <w:spacing w:after="80"/>
        <w:ind w:left="567" w:hanging="567"/>
      </w:pPr>
      <w:r>
        <w:rPr>
          <w:sz w:val="20"/>
        </w:rPr>
        <w:t>Hardt, M., Price, E., &amp; Srebro, N. (2016). Equality of opportunity in supervised learning. NeurIPS.</w:t>
      </w:r>
    </w:p>
    <w:p w14:paraId="272E7F80" w14:textId="77777777" w:rsidR="00BD286F" w:rsidRDefault="00000000">
      <w:pPr>
        <w:spacing w:after="80"/>
        <w:ind w:left="567" w:hanging="567"/>
      </w:pPr>
      <w:r>
        <w:rPr>
          <w:sz w:val="20"/>
        </w:rPr>
        <w:t>He, H., Bai, Y., Garcia, E. A., &amp; Li, S. (2008). ADASYN: Adaptive synthetic sampling approach for imbalanced learning. IJCNN.</w:t>
      </w:r>
    </w:p>
    <w:p w14:paraId="3DDE0BDF" w14:textId="77777777" w:rsidR="00BD286F" w:rsidRDefault="00000000">
      <w:pPr>
        <w:spacing w:after="80"/>
        <w:ind w:left="567" w:hanging="567"/>
      </w:pPr>
      <w:r>
        <w:rPr>
          <w:sz w:val="20"/>
        </w:rPr>
        <w:t>Hedström, A., et al. (2023). Quantus: An explainable AI toolkit for responsible evaluation of neural network explanations. JMLR, 24.</w:t>
      </w:r>
    </w:p>
    <w:p w14:paraId="0A7A3099" w14:textId="77777777" w:rsidR="00BD286F" w:rsidRDefault="00000000">
      <w:pPr>
        <w:spacing w:after="80"/>
        <w:ind w:left="567" w:hanging="567"/>
      </w:pPr>
      <w:r>
        <w:rPr>
          <w:sz w:val="20"/>
        </w:rPr>
        <w:t>Henley, W. E. (1995). Statistical aspects of credit scoring. PhD thesis, The Open University.</w:t>
      </w:r>
    </w:p>
    <w:p w14:paraId="0CA7151B" w14:textId="77777777" w:rsidR="00BD286F" w:rsidRDefault="00000000">
      <w:pPr>
        <w:spacing w:after="80"/>
        <w:ind w:left="567" w:hanging="567"/>
      </w:pPr>
      <w:r>
        <w:rPr>
          <w:sz w:val="20"/>
        </w:rPr>
        <w:t>Janzing, D., Minorics, L., &amp; Blöbaum, P. (2020). Feature relevance quantification in explainable AI: A causal problem. AISTATS.</w:t>
      </w:r>
    </w:p>
    <w:p w14:paraId="00E17724" w14:textId="77777777" w:rsidR="00BD286F" w:rsidRDefault="00000000">
      <w:pPr>
        <w:spacing w:after="80"/>
        <w:ind w:left="567" w:hanging="567"/>
      </w:pPr>
      <w:r>
        <w:rPr>
          <w:sz w:val="20"/>
        </w:rPr>
        <w:t>Kamiran, F., &amp; Calders, T. (2012). Data preprocessing techniques for classification without discrimination. Knowledge and Information Systems, 33(1), 1–33.</w:t>
      </w:r>
    </w:p>
    <w:p w14:paraId="64A45ABF" w14:textId="77777777" w:rsidR="00BD286F" w:rsidRDefault="00000000">
      <w:pPr>
        <w:spacing w:after="80"/>
        <w:ind w:left="567" w:hanging="567"/>
      </w:pPr>
      <w:r>
        <w:rPr>
          <w:sz w:val="20"/>
        </w:rPr>
        <w:t>Kang, Y., Jia, N., Cui, R., &amp; Deng, J. (2021). A graph-based semi-supervised reject inference framework considering imbalanced data distribution for consumer credit scoring. Applied Soft Computing, 105, 107259.</w:t>
      </w:r>
    </w:p>
    <w:p w14:paraId="103A33D9" w14:textId="77777777" w:rsidR="00BD286F" w:rsidRDefault="00000000">
      <w:pPr>
        <w:spacing w:after="80"/>
        <w:ind w:left="567" w:hanging="567"/>
      </w:pPr>
      <w:r>
        <w:rPr>
          <w:sz w:val="20"/>
        </w:rPr>
        <w:t>Ke, G., Meng, Q., et al. (2017). LightGBM: A highly efficient gradient boosting decision tree. NeurIPS.</w:t>
      </w:r>
    </w:p>
    <w:p w14:paraId="23E3BE56" w14:textId="77777777" w:rsidR="00BD286F" w:rsidRDefault="00000000">
      <w:pPr>
        <w:spacing w:after="80"/>
        <w:ind w:left="567" w:hanging="567"/>
      </w:pPr>
      <w:r>
        <w:rPr>
          <w:sz w:val="20"/>
        </w:rPr>
        <w:t>Kleinberg, J., Mullainathan, S., &amp; Raghavan, M. (2017). Inherent trade-offs in the fair determination of risk scores. ITCS.</w:t>
      </w:r>
    </w:p>
    <w:p w14:paraId="7309AD0D" w14:textId="77777777" w:rsidR="00BD286F" w:rsidRDefault="00000000">
      <w:pPr>
        <w:spacing w:after="80"/>
        <w:ind w:left="567" w:hanging="567"/>
      </w:pPr>
      <w:r>
        <w:rPr>
          <w:sz w:val="20"/>
        </w:rPr>
        <w:t>Kölbel, J. F., Leippold, M., Rillaerts, J., &amp; Wang, Q. (2022). Ask BERT: How regulatory disclosure of transition and physical climate risks affects the CDS term structure. Journal of Financial Econometrics, 22(1), 30–69.</w:t>
      </w:r>
    </w:p>
    <w:p w14:paraId="5540B452" w14:textId="77777777" w:rsidR="00BD286F" w:rsidRDefault="00000000">
      <w:pPr>
        <w:spacing w:after="80"/>
        <w:ind w:left="567" w:hanging="567"/>
      </w:pPr>
      <w:r>
        <w:rPr>
          <w:sz w:val="20"/>
        </w:rPr>
        <w:t>Kursa, M. B., &amp; Rudnicki, W. R. (2010). Feature selection with the Boruta package. Journal of Statistical Software, 36(11).</w:t>
      </w:r>
    </w:p>
    <w:p w14:paraId="2E529D82" w14:textId="77777777" w:rsidR="00BD286F" w:rsidRDefault="00000000">
      <w:pPr>
        <w:spacing w:after="80"/>
        <w:ind w:left="567" w:hanging="567"/>
      </w:pPr>
      <w:r>
        <w:rPr>
          <w:sz w:val="20"/>
        </w:rPr>
        <w:t>Lessmann, S., Baesens, B., Seow, H. V., &amp; Thomas, L. C. (2015). Benchmarking state-of-the-art classification algorithms for credit scoring: An update of research. EJOR, 247(1), 124–136.</w:t>
      </w:r>
    </w:p>
    <w:p w14:paraId="32715766" w14:textId="77777777" w:rsidR="00BD286F" w:rsidRDefault="00000000">
      <w:pPr>
        <w:spacing w:after="80"/>
        <w:ind w:left="567" w:hanging="567"/>
      </w:pPr>
      <w:r>
        <w:rPr>
          <w:sz w:val="20"/>
        </w:rPr>
        <w:lastRenderedPageBreak/>
        <w:t>Lin, T.-Y., Goyal, P., Girshick, R., He, K., &amp; Dollár, P. (2017). Focal loss for dense object detection. ICCV.</w:t>
      </w:r>
    </w:p>
    <w:p w14:paraId="4132AF5C" w14:textId="77777777" w:rsidR="00BD286F" w:rsidRDefault="00000000">
      <w:pPr>
        <w:spacing w:after="80"/>
        <w:ind w:left="567" w:hanging="567"/>
      </w:pPr>
      <w:r>
        <w:rPr>
          <w:sz w:val="20"/>
        </w:rPr>
        <w:t>Loan Market Association, APLMA, &amp; LSTA. (2023). Green Loan Principles.</w:t>
      </w:r>
    </w:p>
    <w:p w14:paraId="507E24F4" w14:textId="77777777" w:rsidR="00BD286F" w:rsidRDefault="00000000">
      <w:pPr>
        <w:spacing w:after="80"/>
        <w:ind w:left="567" w:hanging="567"/>
      </w:pPr>
      <w:r>
        <w:rPr>
          <w:sz w:val="20"/>
        </w:rPr>
        <w:t>Lu, J., Liu, A., Dong, F., Gu, F., Gama, J., &amp; Zhang, G. (2018). Learning under concept drift: A review. IEEE TKDE.</w:t>
      </w:r>
    </w:p>
    <w:p w14:paraId="125C77E4" w14:textId="77777777" w:rsidR="00BD286F" w:rsidRDefault="00000000">
      <w:pPr>
        <w:spacing w:after="80"/>
        <w:ind w:left="567" w:hanging="567"/>
      </w:pPr>
      <w:r>
        <w:rPr>
          <w:sz w:val="20"/>
        </w:rPr>
        <w:t>Lundberg, S. M., &amp; Lee, S.-I. (2017). A unified approach to interpreting model predictions. NeurIPS.</w:t>
      </w:r>
    </w:p>
    <w:p w14:paraId="007011BE" w14:textId="77777777" w:rsidR="00BD286F" w:rsidRDefault="00000000">
      <w:pPr>
        <w:spacing w:after="80"/>
        <w:ind w:left="567" w:hanging="567"/>
      </w:pPr>
      <w:r>
        <w:rPr>
          <w:sz w:val="20"/>
        </w:rPr>
        <w:t>Lundberg, S. M., et al. (2020). From local explanations to global understanding with explainable AI for trees. Nature Machine Intelligence, 2, 56–67.</w:t>
      </w:r>
    </w:p>
    <w:p w14:paraId="66654411" w14:textId="77777777" w:rsidR="00BD286F" w:rsidRDefault="00000000">
      <w:pPr>
        <w:spacing w:after="80"/>
        <w:ind w:left="567" w:hanging="567"/>
      </w:pPr>
      <w:r>
        <w:rPr>
          <w:sz w:val="20"/>
        </w:rPr>
        <w:t>Micci-Barreca, D. (2001). A preprocessing scheme for high-cardinality categorical attributes in classification and prediction problems. SIGKDD Explorations, 3(1), 27–32.</w:t>
      </w:r>
    </w:p>
    <w:p w14:paraId="55F13A29" w14:textId="77777777" w:rsidR="00BD286F" w:rsidRDefault="00000000">
      <w:pPr>
        <w:spacing w:after="80"/>
        <w:ind w:left="567" w:hanging="567"/>
      </w:pPr>
      <w:r>
        <w:rPr>
          <w:sz w:val="20"/>
        </w:rPr>
        <w:t>Mirza, N., Umar, M., Horobeţ, A., &amp; Boubaker, S. (2024). Effects of climate change and technological capex on credit risk cycles in the European Union. Technological Forecasting and Social Change, 204, 123448.</w:t>
      </w:r>
    </w:p>
    <w:p w14:paraId="2251111C" w14:textId="77777777" w:rsidR="00BD286F" w:rsidRDefault="00000000">
      <w:pPr>
        <w:spacing w:after="80"/>
        <w:ind w:left="567" w:hanging="567"/>
      </w:pPr>
      <w:r>
        <w:rPr>
          <w:sz w:val="20"/>
        </w:rPr>
        <w:t>Mitchell, M., et al. (2019). Model cards for model reporting. FAT* 2019, 220–229.</w:t>
      </w:r>
    </w:p>
    <w:p w14:paraId="1B0A2D53" w14:textId="77777777" w:rsidR="00BD286F" w:rsidRDefault="00000000">
      <w:pPr>
        <w:spacing w:after="80"/>
        <w:ind w:left="567" w:hanging="567"/>
      </w:pPr>
      <w:r>
        <w:rPr>
          <w:sz w:val="20"/>
        </w:rPr>
        <w:t>Mothilal, R. K., Sharma, A., &amp; Tan, C. (2020). Explaining machine learning classifiers through diverse counterfactual explanations. FAccT.</w:t>
      </w:r>
    </w:p>
    <w:p w14:paraId="70798DEF" w14:textId="77777777" w:rsidR="00BD286F" w:rsidRDefault="00000000">
      <w:pPr>
        <w:spacing w:after="80"/>
        <w:ind w:left="567" w:hanging="567"/>
      </w:pPr>
      <w:r>
        <w:rPr>
          <w:sz w:val="20"/>
        </w:rPr>
        <w:t>Nahar, N., Zhou, S., Lewis, G. A., &amp; Kästner, C. (2022). Collaboration challenges in building ML-enabled systems. ICSE 2022, 413–425.</w:t>
      </w:r>
    </w:p>
    <w:p w14:paraId="0247004A" w14:textId="77777777" w:rsidR="00BD286F" w:rsidRDefault="00000000">
      <w:pPr>
        <w:spacing w:after="80"/>
        <w:ind w:left="567" w:hanging="567"/>
      </w:pPr>
      <w:r>
        <w:rPr>
          <w:sz w:val="20"/>
        </w:rPr>
        <w:t>Paleyes, A., Urma, R.-G., &amp; Lawrence, N. D. (2022). Challenges in deploying machine learning: A survey of case studies. ACM Computing Surveys, 55(6), 114.</w:t>
      </w:r>
    </w:p>
    <w:p w14:paraId="78E2D119" w14:textId="77777777" w:rsidR="00BD286F" w:rsidRDefault="00000000">
      <w:pPr>
        <w:spacing w:after="80"/>
        <w:ind w:left="567" w:hanging="567"/>
      </w:pPr>
      <w:r>
        <w:rPr>
          <w:sz w:val="20"/>
        </w:rPr>
        <w:t>Pasquale, F. (2015). The Black Box Society: The Secret Algorithms That Control Money and Information. Harvard University Press.</w:t>
      </w:r>
    </w:p>
    <w:p w14:paraId="307CB175" w14:textId="77777777" w:rsidR="00BD286F" w:rsidRDefault="00000000">
      <w:pPr>
        <w:spacing w:after="80"/>
        <w:ind w:left="567" w:hanging="567"/>
      </w:pPr>
      <w:r>
        <w:rPr>
          <w:sz w:val="20"/>
        </w:rPr>
        <w:t>Pineau, J., et al. (2021). Improving reproducibility in machine learning research. JMLR, 22.</w:t>
      </w:r>
    </w:p>
    <w:p w14:paraId="3AB0AC59" w14:textId="77777777" w:rsidR="00BD286F" w:rsidRDefault="00000000">
      <w:pPr>
        <w:spacing w:after="80"/>
        <w:ind w:left="567" w:hanging="567"/>
      </w:pPr>
      <w:r>
        <w:rPr>
          <w:sz w:val="20"/>
        </w:rPr>
        <w:t>Platt, J. (1999). Probabilistic outputs for support vector machines and comparisons to regularized likelihood methods. Advances in Large Margin Classifiers.</w:t>
      </w:r>
    </w:p>
    <w:p w14:paraId="26D099D1" w14:textId="77777777" w:rsidR="00BD286F" w:rsidRDefault="00000000">
      <w:pPr>
        <w:spacing w:after="80"/>
        <w:ind w:left="567" w:hanging="567"/>
      </w:pPr>
      <w:r>
        <w:rPr>
          <w:sz w:val="20"/>
        </w:rPr>
        <w:t>Popov, S., Morozov, S., &amp; Babenko, A. (2020). Neural oblivious decision ensembles for deep learning on tabular data. ICLR.</w:t>
      </w:r>
    </w:p>
    <w:p w14:paraId="2BA9A558" w14:textId="77777777" w:rsidR="00BD286F" w:rsidRDefault="00000000">
      <w:pPr>
        <w:spacing w:after="80"/>
        <w:ind w:left="567" w:hanging="567"/>
      </w:pPr>
      <w:r>
        <w:rPr>
          <w:sz w:val="20"/>
        </w:rPr>
        <w:t>Prokhorenkova, L., Gusev, G., Vorobev, A., Dorogush, A. V., &amp; Gulin, A. (2018). CatBoost: Unbiased boosting with categorical features. NeurIPS.</w:t>
      </w:r>
    </w:p>
    <w:p w14:paraId="2638E036" w14:textId="77777777" w:rsidR="00BD286F" w:rsidRDefault="00000000">
      <w:pPr>
        <w:spacing w:after="80"/>
        <w:ind w:left="567" w:hanging="567"/>
      </w:pPr>
      <w:r>
        <w:rPr>
          <w:sz w:val="20"/>
        </w:rPr>
        <w:t>Rawal, K., &amp; Lakkaraju, H. (2020). Beyond individualized recourse: Interpretable and interactive summaries of actionable recourses. NeurIPS.</w:t>
      </w:r>
    </w:p>
    <w:p w14:paraId="6EFE36C7" w14:textId="77777777" w:rsidR="00BD286F" w:rsidRDefault="00000000">
      <w:pPr>
        <w:spacing w:after="80"/>
        <w:ind w:left="567" w:hanging="567"/>
      </w:pPr>
      <w:r>
        <w:rPr>
          <w:sz w:val="20"/>
        </w:rPr>
        <w:t>Reboredo, J. C., &amp; Ugolini, A. (2020). Price connectedness between green bond and financial markets. Economic Modelling, 88, 25–38.</w:t>
      </w:r>
    </w:p>
    <w:p w14:paraId="29887538" w14:textId="77777777" w:rsidR="00BD286F" w:rsidRDefault="00000000">
      <w:pPr>
        <w:spacing w:after="80"/>
        <w:ind w:left="567" w:hanging="567"/>
      </w:pPr>
      <w:r>
        <w:rPr>
          <w:sz w:val="20"/>
        </w:rPr>
        <w:t>Ribeiro, M. T., Singh, S., &amp; Guestrin, C. (2016). 'Why should I trust you?': Explaining the predictions of any classifier. KDD.</w:t>
      </w:r>
    </w:p>
    <w:p w14:paraId="7305A1CF" w14:textId="77777777" w:rsidR="00BD286F" w:rsidRDefault="00000000">
      <w:pPr>
        <w:spacing w:after="80"/>
        <w:ind w:left="567" w:hanging="567"/>
      </w:pPr>
      <w:r>
        <w:rPr>
          <w:sz w:val="20"/>
        </w:rPr>
        <w:t>Rudin, C. (2019). Stop explaining black box machine learning models for high stakes decisions and use interpretable models instead. Nature Machine Intelligence, 1, 206–215.</w:t>
      </w:r>
    </w:p>
    <w:p w14:paraId="3A1D7271" w14:textId="77777777" w:rsidR="00BD286F" w:rsidRDefault="00000000">
      <w:pPr>
        <w:spacing w:after="80"/>
        <w:ind w:left="567" w:hanging="567"/>
      </w:pPr>
      <w:r>
        <w:rPr>
          <w:sz w:val="20"/>
        </w:rPr>
        <w:t>Santos, M. S., Soares, J. P., Abreu, P. H., Araújo, H., &amp; Santos, J. (2018). Cross-validation for imbalanced datasets: Avoiding overoptimistic and overfitting approaches. IEEE Computational Intelligence Magazine, 13(4).</w:t>
      </w:r>
    </w:p>
    <w:p w14:paraId="16BC36CA" w14:textId="77777777" w:rsidR="00BD286F" w:rsidRDefault="00000000">
      <w:pPr>
        <w:spacing w:after="80"/>
        <w:ind w:left="567" w:hanging="567"/>
      </w:pPr>
      <w:r>
        <w:rPr>
          <w:sz w:val="20"/>
        </w:rPr>
        <w:t>Selbst, A. D., boyd, d., Friedler, S. A., Venkatasubramanian, S., &amp; Vertesi, J. (2019). Fairness and abstraction in sociotechnical systems. FAT* 2019, 59–68.</w:t>
      </w:r>
    </w:p>
    <w:p w14:paraId="4D8E9FC6" w14:textId="77777777" w:rsidR="00BD286F" w:rsidRDefault="00000000">
      <w:pPr>
        <w:spacing w:after="80"/>
        <w:ind w:left="567" w:hanging="567"/>
      </w:pPr>
      <w:r>
        <w:rPr>
          <w:sz w:val="20"/>
        </w:rPr>
        <w:t>Shen, F., Yang, Z., Zhao, X., &amp; Lan, D. (2022). Reject inference in credit scoring using a three-way decision and safe semi-supervised support vector machine. Information Sciences, 606, 614–627.</w:t>
      </w:r>
    </w:p>
    <w:p w14:paraId="73945833" w14:textId="77777777" w:rsidR="00BD286F" w:rsidRDefault="00000000">
      <w:pPr>
        <w:spacing w:after="80"/>
        <w:ind w:left="567" w:hanging="567"/>
      </w:pPr>
      <w:r>
        <w:rPr>
          <w:sz w:val="20"/>
        </w:rPr>
        <w:t>Shwartz-Ziv, R., &amp; Armon, A. (2022). Tabular data: Deep learning is not all you need. Information Fusion, 81.</w:t>
      </w:r>
    </w:p>
    <w:p w14:paraId="1D08A499" w14:textId="77777777" w:rsidR="00BD286F" w:rsidRDefault="00000000">
      <w:pPr>
        <w:spacing w:after="80"/>
        <w:ind w:left="567" w:hanging="567"/>
      </w:pPr>
      <w:r>
        <w:rPr>
          <w:sz w:val="20"/>
        </w:rPr>
        <w:lastRenderedPageBreak/>
        <w:t>Slack, D., Hilgard, S., Jia, E., Singh, S., &amp; Lakkaraju, H. (2020). Fooling LIME and SHAP: Adversarial attacks on post hoc explanation methods. AIES.</w:t>
      </w:r>
    </w:p>
    <w:p w14:paraId="6F9F5606" w14:textId="77777777" w:rsidR="00BD286F" w:rsidRDefault="00000000">
      <w:pPr>
        <w:spacing w:after="80"/>
        <w:ind w:left="567" w:hanging="567"/>
      </w:pPr>
      <w:r>
        <w:rPr>
          <w:sz w:val="20"/>
        </w:rPr>
        <w:t>Somepalli, G., Goldblum, M., Schwarzschild, A., Bruss, C. B., &amp; Goldstein, T. (2021). SAINT: Improved neural networks for tabular data via row attention and contrastive pre-training. arXiv:2106.01342.</w:t>
      </w:r>
    </w:p>
    <w:p w14:paraId="4EB41938" w14:textId="77777777" w:rsidR="00BD286F" w:rsidRDefault="00000000">
      <w:pPr>
        <w:spacing w:after="80"/>
        <w:ind w:left="567" w:hanging="567"/>
      </w:pPr>
      <w:r>
        <w:rPr>
          <w:sz w:val="20"/>
        </w:rPr>
        <w:t>Tang, D. Y., &amp; Zhang, Y. (2020). Do shareholders benefit from green bonds? Journal of Corporate Finance, 61, 101427.</w:t>
      </w:r>
    </w:p>
    <w:p w14:paraId="6E3848B1" w14:textId="77777777" w:rsidR="00BD286F" w:rsidRDefault="00000000">
      <w:pPr>
        <w:spacing w:after="80"/>
        <w:ind w:left="567" w:hanging="567"/>
      </w:pPr>
      <w:r>
        <w:rPr>
          <w:sz w:val="20"/>
        </w:rPr>
        <w:t>Thomas, L. C. (2000). A survey of credit and behavioural scoring. International Journal of Forecasting, 16(2), 149–172.</w:t>
      </w:r>
    </w:p>
    <w:p w14:paraId="004995DB" w14:textId="77777777" w:rsidR="00BD286F" w:rsidRDefault="00000000">
      <w:pPr>
        <w:spacing w:after="80"/>
        <w:ind w:left="567" w:hanging="567"/>
      </w:pPr>
      <w:r>
        <w:rPr>
          <w:sz w:val="20"/>
        </w:rPr>
        <w:t>Vovk, V., Gammerman, A., &amp; Shafer, G. (2005). Algorithmic learning in a random world. Springer.</w:t>
      </w:r>
    </w:p>
    <w:p w14:paraId="2206A73C" w14:textId="77777777" w:rsidR="00BD286F" w:rsidRDefault="00000000">
      <w:pPr>
        <w:spacing w:after="80"/>
        <w:ind w:left="567" w:hanging="567"/>
      </w:pPr>
      <w:r>
        <w:rPr>
          <w:sz w:val="20"/>
        </w:rPr>
        <w:t>Wachter, S., Mittelstadt, B., &amp; Russell, C. (2017). Counterfactual explanations without opening the black box: Automated decisions and the GDPR. Harvard Journal of Law &amp; Technology, 31(2).</w:t>
      </w:r>
    </w:p>
    <w:p w14:paraId="744A76DF" w14:textId="77777777" w:rsidR="00BD286F" w:rsidRDefault="00000000">
      <w:pPr>
        <w:spacing w:after="80"/>
        <w:ind w:left="567" w:hanging="567"/>
      </w:pPr>
      <w:r>
        <w:rPr>
          <w:sz w:val="20"/>
        </w:rPr>
        <w:t>Wirth, R., &amp; Hipp, J. (2000). CRISP-DM: Towards a standard process model for data mining. PAKDD.</w:t>
      </w:r>
    </w:p>
    <w:p w14:paraId="67BF3B93" w14:textId="77777777" w:rsidR="00BD286F" w:rsidRDefault="00000000">
      <w:pPr>
        <w:spacing w:after="80"/>
        <w:ind w:left="567" w:hanging="567"/>
      </w:pPr>
      <w:r>
        <w:rPr>
          <w:sz w:val="20"/>
        </w:rPr>
        <w:t>Zadrozny, B., &amp; Elkan, C. (2002). Transforming classifier scores into accurate multiclass probability estimates. KDD.</w:t>
      </w:r>
    </w:p>
    <w:p w14:paraId="2E5D6C44" w14:textId="77777777" w:rsidR="00BD286F" w:rsidRDefault="00000000">
      <w:pPr>
        <w:spacing w:after="80"/>
        <w:ind w:left="567" w:hanging="567"/>
      </w:pPr>
      <w:r>
        <w:rPr>
          <w:sz w:val="20"/>
        </w:rPr>
        <w:t>Zhang, B. H., Lemoine, B., &amp; Mitchell, M. (2018). Mitigating unwanted biases with adversarial learning. AIES.</w:t>
      </w:r>
    </w:p>
    <w:sectPr w:rsidR="00BD286F"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159720">
    <w:abstractNumId w:val="8"/>
  </w:num>
  <w:num w:numId="2" w16cid:durableId="716515536">
    <w:abstractNumId w:val="6"/>
  </w:num>
  <w:num w:numId="3" w16cid:durableId="1712611381">
    <w:abstractNumId w:val="5"/>
  </w:num>
  <w:num w:numId="4" w16cid:durableId="1978992359">
    <w:abstractNumId w:val="4"/>
  </w:num>
  <w:num w:numId="5" w16cid:durableId="1435394005">
    <w:abstractNumId w:val="7"/>
  </w:num>
  <w:num w:numId="6" w16cid:durableId="17199536">
    <w:abstractNumId w:val="3"/>
  </w:num>
  <w:num w:numId="7" w16cid:durableId="1076588620">
    <w:abstractNumId w:val="2"/>
  </w:num>
  <w:num w:numId="8" w16cid:durableId="816187944">
    <w:abstractNumId w:val="1"/>
  </w:num>
  <w:num w:numId="9" w16cid:durableId="1839930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6B5"/>
    <w:rsid w:val="00AA1D8D"/>
    <w:rsid w:val="00B47730"/>
    <w:rsid w:val="00B73CAE"/>
    <w:rsid w:val="00BD28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66752"/>
  <w14:defaultImageDpi w14:val="300"/>
  <w15:docId w15:val="{6EFA2A74-F3C1-4D91-AD4B-6886AEA6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4422</Words>
  <Characters>25209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KRUERATTANAKUL, TATPHONG (PGT)</cp:lastModifiedBy>
  <cp:revision>2</cp:revision>
  <dcterms:created xsi:type="dcterms:W3CDTF">2013-12-23T23:15:00Z</dcterms:created>
  <dcterms:modified xsi:type="dcterms:W3CDTF">2026-05-18T14:45:00Z</dcterms:modified>
  <cp:category/>
</cp:coreProperties>
</file>