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3D92D" w14:textId="77777777" w:rsidR="00950E9E" w:rsidRPr="00950E9E" w:rsidRDefault="00950E9E" w:rsidP="00950E9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0E9E">
        <w:rPr>
          <w:rFonts w:ascii="Times New Roman" w:hAnsi="Times New Roman" w:cs="Times New Roman"/>
          <w:b/>
          <w:bCs/>
          <w:sz w:val="36"/>
          <w:szCs w:val="36"/>
        </w:rPr>
        <w:t>Анализ целевой аудитории (ЦА) проекта: PWA-приложение для контроля личных финансов</w:t>
      </w:r>
    </w:p>
    <w:p w14:paraId="755F622B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Для разработки эффективного MVP и проектирования пользовательских сценариев (User Stories) была проведена сегментация потенциальных пользователей. Основной акцент сделан на аудитории, для которой критичны скорость взаимодействия и независимость от внешних сервисов (банковских экосистем).</w:t>
      </w:r>
    </w:p>
    <w:p w14:paraId="67460F1E" w14:textId="429646A8" w:rsidR="00950E9E" w:rsidRPr="00950E9E" w:rsidRDefault="00950E9E" w:rsidP="00950E9E">
      <w:pPr>
        <w:rPr>
          <w:rFonts w:ascii="Times New Roman" w:hAnsi="Times New Roman" w:cs="Times New Roman"/>
          <w:sz w:val="32"/>
          <w:szCs w:val="32"/>
          <w:u w:val="single"/>
        </w:rPr>
      </w:pPr>
      <w:r w:rsidRPr="00950E9E">
        <w:rPr>
          <w:rFonts w:ascii="Times New Roman" w:hAnsi="Times New Roman" w:cs="Times New Roman"/>
          <w:sz w:val="32"/>
          <w:szCs w:val="32"/>
          <w:u w:val="single"/>
        </w:rPr>
        <w:t>1. Портрет ключевого сегмента: «Мультиканальные плательщики»</w:t>
      </w:r>
    </w:p>
    <w:p w14:paraId="05BEE9B6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Это наиболее активная группа пользователей, обладающая высокой цифровой грамотностью, но ограниченным или четко распределенным бюджетом.</w:t>
      </w:r>
    </w:p>
    <w:p w14:paraId="0818AF9B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Демография: 18–35 лет, жители городов.</w:t>
      </w:r>
    </w:p>
    <w:p w14:paraId="36158189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Поведенческие особенности: Используют несколько платежных инструментов (карты разных банков, электронные кошельки, наличные). Часто совершают мелкие бытовые покупки (кофе, транспорт, перекусы).</w:t>
      </w:r>
    </w:p>
    <w:p w14:paraId="72172F65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Боли: Трудности с консолидацией данных из разных банковских приложений. Забывают вносить наличные траты, из-за чего в конце месяца «дебет не сходится с кредитом».</w:t>
      </w:r>
    </w:p>
    <w:p w14:paraId="7E823298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Потребность в продукте: Быстрый инструмент «в один клик», который всегда под рукой на главном экране смартфона.</w:t>
      </w:r>
    </w:p>
    <w:p w14:paraId="63DBE9A0" w14:textId="3195DDE6" w:rsidR="00950E9E" w:rsidRPr="00950E9E" w:rsidRDefault="00950E9E" w:rsidP="00950E9E">
      <w:pPr>
        <w:rPr>
          <w:rFonts w:ascii="Times New Roman" w:hAnsi="Times New Roman" w:cs="Times New Roman"/>
          <w:sz w:val="32"/>
          <w:szCs w:val="32"/>
          <w:u w:val="single"/>
        </w:rPr>
      </w:pPr>
      <w:r w:rsidRPr="00950E9E">
        <w:rPr>
          <w:rFonts w:ascii="Times New Roman" w:hAnsi="Times New Roman" w:cs="Times New Roman"/>
          <w:sz w:val="32"/>
          <w:szCs w:val="32"/>
          <w:u w:val="single"/>
        </w:rPr>
        <w:t>2. Вторичный сегмент: «Оффлайн-зависимые»</w:t>
      </w:r>
    </w:p>
    <w:p w14:paraId="069E9B6F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Пользователи, часто меняющие локации и сталкивающиеся с нестабильным интернетом или использованием разных валют.</w:t>
      </w:r>
    </w:p>
    <w:p w14:paraId="0DBDB1EA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Демография: 22–45 лет, фрилансеры, удаленные сотрудники.</w:t>
      </w:r>
    </w:p>
    <w:p w14:paraId="415F2783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Поведенческие особенности: Часто пользуются общественным транспортом, находятся в зонах с плохим покрытием сети (аэропорты, роуминг, поезда). Активно используют наличные в странах с низкой долей безналичных расчетов.</w:t>
      </w:r>
    </w:p>
    <w:p w14:paraId="7A7BADB2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Боли: Нативные банковские приложения могут блокироваться или долго загружаться в роуминге. Высокая стоимость трафика за границей заставляет экономить на использовании тяжелых онлайн-сервисов.</w:t>
      </w:r>
    </w:p>
    <w:p w14:paraId="75C36F16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Потребность в продукте: Полноценная работа в режиме Offline-first. Возможность внести трату в момент совершения, не дожидаясь подключения к Wi-Fi.</w:t>
      </w:r>
    </w:p>
    <w:p w14:paraId="65898EB5" w14:textId="77777777" w:rsidR="00950E9E" w:rsidRPr="00950E9E" w:rsidRDefault="00950E9E" w:rsidP="00950E9E">
      <w:pPr>
        <w:rPr>
          <w:rFonts w:ascii="Times New Roman" w:hAnsi="Times New Roman" w:cs="Times New Roman"/>
          <w:sz w:val="32"/>
          <w:szCs w:val="32"/>
          <w:u w:val="single"/>
        </w:rPr>
      </w:pPr>
      <w:r w:rsidRPr="00950E9E">
        <w:rPr>
          <w:rFonts w:ascii="Times New Roman" w:hAnsi="Times New Roman" w:cs="Times New Roman"/>
          <w:sz w:val="32"/>
          <w:szCs w:val="32"/>
          <w:u w:val="single"/>
        </w:rPr>
        <w:t>3. Нишевый сегмент: «Приватные пользователи»</w:t>
      </w:r>
    </w:p>
    <w:p w14:paraId="6934AF5C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Люди, осознанно ограничивающие передачу своих финансовых данных крупным корпорациям и облачным сервисам.</w:t>
      </w:r>
    </w:p>
    <w:p w14:paraId="2538550F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Поведенческие особенности: Предпочитают локальные хранилища данных. Избегают привязки банковских карт к сторонним сервисам учета.</w:t>
      </w:r>
    </w:p>
    <w:p w14:paraId="7D23E4DB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lastRenderedPageBreak/>
        <w:t>Боли: Недоверие к безопасности облачных баз данных. Опасение утечек конфиденциальной информации о доходах и расходах.</w:t>
      </w:r>
    </w:p>
    <w:p w14:paraId="650F9F8A" w14:textId="77777777" w:rsidR="00950E9E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Потребность в продукте: Прозрачное решение, где все данные хранятся в браузере (IndexedDB) и не уходят на внешние сервера без ведома пользователя.</w:t>
      </w:r>
    </w:p>
    <w:p w14:paraId="421732FD" w14:textId="77777777" w:rsidR="00950E9E" w:rsidRPr="00950E9E" w:rsidRDefault="00950E9E" w:rsidP="00950E9E">
      <w:pPr>
        <w:rPr>
          <w:rFonts w:ascii="Times New Roman" w:hAnsi="Times New Roman" w:cs="Times New Roman"/>
          <w:sz w:val="32"/>
          <w:szCs w:val="32"/>
          <w:u w:val="single"/>
        </w:rPr>
      </w:pPr>
      <w:r w:rsidRPr="00950E9E">
        <w:rPr>
          <w:rFonts w:ascii="Times New Roman" w:hAnsi="Times New Roman" w:cs="Times New Roman"/>
          <w:sz w:val="32"/>
          <w:szCs w:val="32"/>
          <w:u w:val="single"/>
        </w:rPr>
        <w:t>Заключение по анализу ЦА:</w:t>
      </w:r>
    </w:p>
    <w:p w14:paraId="621D3C92" w14:textId="0F0BE237" w:rsidR="00A90132" w:rsidRPr="00950E9E" w:rsidRDefault="00950E9E" w:rsidP="00950E9E">
      <w:pPr>
        <w:rPr>
          <w:rFonts w:ascii="Times New Roman" w:hAnsi="Times New Roman" w:cs="Times New Roman"/>
          <w:sz w:val="26"/>
          <w:szCs w:val="26"/>
        </w:rPr>
      </w:pPr>
      <w:r w:rsidRPr="00950E9E">
        <w:rPr>
          <w:rFonts w:ascii="Times New Roman" w:hAnsi="Times New Roman" w:cs="Times New Roman"/>
          <w:sz w:val="26"/>
          <w:szCs w:val="26"/>
        </w:rPr>
        <w:t>Продукт должен ориентироваться на максимальное упрощение пути пользователя (User Flow). Основная ценность для всех сегментов заключается в преодолении «барьера начала учета» за счет мгновенного доступа к приложению через технологию PWA и надежности сохранения данных в любых условиях.</w:t>
      </w:r>
    </w:p>
    <w:sectPr w:rsidR="00A90132" w:rsidRPr="00950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32"/>
    <w:rsid w:val="00950E9E"/>
    <w:rsid w:val="00A9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201B"/>
  <w15:chartTrackingRefBased/>
  <w15:docId w15:val="{33307747-DE6B-4D8E-B86D-D995B0FC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glebk</dc:creator>
  <cp:keywords/>
  <dc:description/>
  <cp:lastModifiedBy>glebk</cp:lastModifiedBy>
  <cp:revision>2</cp:revision>
  <dcterms:created xsi:type="dcterms:W3CDTF">2026-04-02T13:49:00Z</dcterms:created>
  <dcterms:modified xsi:type="dcterms:W3CDTF">2026-04-02T13:53:00Z</dcterms:modified>
</cp:coreProperties>
</file>