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正文"/>
        <w:spacing w:line="360" w:lineRule="auto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eastAsia="Songti SC Bold" w:hint="eastAsia"/>
          <w:sz w:val="24"/>
          <w:szCs w:val="24"/>
          <w:rtl w:val="0"/>
          <w:lang w:val="zh-CN" w:eastAsia="zh-CN"/>
        </w:rPr>
        <w:t>名词解释（</w:t>
      </w:r>
      <w:r>
        <w:rPr>
          <w:rFonts w:ascii="Songti SC Bold" w:hAnsi="Songti SC Bold"/>
          <w:sz w:val="24"/>
          <w:szCs w:val="24"/>
          <w:rtl w:val="0"/>
        </w:rPr>
        <w:t>40</w:t>
      </w:r>
      <w:r>
        <w:rPr>
          <w:rFonts w:eastAsia="Songti SC Bold" w:hint="eastAsia"/>
          <w:sz w:val="24"/>
          <w:szCs w:val="24"/>
          <w:rtl w:val="0"/>
        </w:rPr>
        <w:t>分）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社会化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ja-JP" w:eastAsia="ja-JP"/>
        </w:rPr>
        <w:t>印象管理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自证预言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旁观者效应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晕轮效应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社会刻板印象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自我监控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行为者</w:t>
      </w:r>
      <w:r>
        <w:rPr>
          <w:rFonts w:ascii="Songti SC Regular" w:hAnsi="Songti SC Regular"/>
          <w:sz w:val="24"/>
          <w:szCs w:val="24"/>
          <w:rtl w:val="0"/>
        </w:rPr>
        <w:t>/</w:t>
      </w:r>
      <w:r>
        <w:rPr>
          <w:rFonts w:eastAsia="Songti SC Regular" w:hint="eastAsia"/>
          <w:sz w:val="24"/>
          <w:szCs w:val="24"/>
          <w:rtl w:val="0"/>
          <w:lang w:val="zh-CN" w:eastAsia="zh-CN"/>
        </w:rPr>
        <w:t>观察者归因偏差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自我意识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TW" w:eastAsia="zh-TW"/>
        </w:rPr>
        <w:t>自我效能感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</w:p>
    <w:p>
      <w:pPr>
        <w:pStyle w:val="正文"/>
        <w:spacing w:line="360" w:lineRule="auto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eastAsia="Songti SC Bold" w:hint="eastAsia"/>
          <w:sz w:val="24"/>
          <w:szCs w:val="24"/>
          <w:rtl w:val="0"/>
          <w:lang w:val="zh-CN" w:eastAsia="zh-CN"/>
        </w:rPr>
        <w:t>简答题（</w:t>
      </w:r>
      <w:r>
        <w:rPr>
          <w:rFonts w:ascii="Songti SC Bold" w:hAnsi="Songti SC Bold"/>
          <w:sz w:val="24"/>
          <w:szCs w:val="24"/>
          <w:rtl w:val="0"/>
          <w:lang w:val="zh-CN" w:eastAsia="zh-CN"/>
        </w:rPr>
        <w:t>20</w:t>
      </w:r>
      <w:r>
        <w:rPr>
          <w:rFonts w:eastAsia="Songti SC Bold" w:hint="eastAsia"/>
          <w:sz w:val="24"/>
          <w:szCs w:val="24"/>
          <w:rtl w:val="0"/>
        </w:rPr>
        <w:t>分）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分别举例说明内部动机，外部动机，过度辩护效应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分别举例说明登门槛和门面效应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</w:p>
    <w:p>
      <w:pPr>
        <w:pStyle w:val="正文"/>
        <w:spacing w:line="360" w:lineRule="auto"/>
        <w:rPr>
          <w:rFonts w:ascii="Songti SC Bold" w:cs="Songti SC Bold" w:hAnsi="Songti SC Bold" w:eastAsia="Songti SC Bold"/>
          <w:sz w:val="24"/>
          <w:szCs w:val="24"/>
        </w:rPr>
      </w:pPr>
      <w:r>
        <w:rPr>
          <w:rFonts w:eastAsia="Songti SC Bold" w:hint="eastAsia"/>
          <w:sz w:val="24"/>
          <w:szCs w:val="24"/>
          <w:rtl w:val="0"/>
          <w:lang w:val="zh-CN" w:eastAsia="zh-CN"/>
        </w:rPr>
        <w:t>论述题（</w:t>
      </w:r>
      <w:r>
        <w:rPr>
          <w:rFonts w:ascii="Songti SC Bold" w:hAnsi="Songti SC Bold"/>
          <w:sz w:val="24"/>
          <w:szCs w:val="24"/>
          <w:rtl w:val="0"/>
        </w:rPr>
        <w:t>40</w:t>
      </w:r>
      <w:r>
        <w:rPr>
          <w:rFonts w:eastAsia="Songti SC Bold" w:hint="eastAsia"/>
          <w:sz w:val="24"/>
          <w:szCs w:val="24"/>
          <w:rtl w:val="0"/>
        </w:rPr>
        <w:t>分）</w:t>
      </w:r>
    </w:p>
    <w:p>
      <w:pPr>
        <w:pStyle w:val="正文"/>
        <w:spacing w:line="360" w:lineRule="auto"/>
        <w:rPr>
          <w:rFonts w:ascii="Songti SC Regular" w:cs="Songti SC Regular" w:hAnsi="Songti SC Regular" w:eastAsia="Songti SC Regular"/>
          <w:sz w:val="24"/>
          <w:szCs w:val="24"/>
        </w:rPr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举例说明凯利的归因理论</w:t>
      </w:r>
    </w:p>
    <w:p>
      <w:pPr>
        <w:pStyle w:val="正文"/>
        <w:spacing w:line="360" w:lineRule="auto"/>
      </w:pPr>
      <w:r>
        <w:rPr>
          <w:rFonts w:eastAsia="Songti SC Regular" w:hint="eastAsia"/>
          <w:sz w:val="24"/>
          <w:szCs w:val="24"/>
          <w:rtl w:val="0"/>
          <w:lang w:val="zh-CN" w:eastAsia="zh-CN"/>
        </w:rPr>
        <w:t>举例说明社会失调理论</w:t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PingFang SC Regular">
    <w:charset w:val="00"/>
    <w:family w:val="roman"/>
    <w:pitch w:val="default"/>
  </w:font>
  <w:font w:name="Songti SC Bold">
    <w:charset w:val="00"/>
    <w:family w:val="roman"/>
    <w:pitch w:val="default"/>
  </w:font>
  <w:font w:name="Songti SC Regular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中文" w:val="‘“(〔[{〈《「『【⦅〘〖«〝︵︷︹︻︽︿﹁﹃﹇﹙﹛﹝｢"/>
  <w:noLineBreaksBefore w:lang="中文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正文">
    <w:name w:val="正文"/>
    <w:next w:val="正文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Arial Unicode MS" w:cs="Arial Unicode MS" w:hAnsi="Arial Unicode MS" w:eastAsia="PingFang SC Regular" w:hint="eastAsia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zh-CN" w:eastAsia="zh-CN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PingFang SC Semibold"/>
        <a:ea typeface="PingFang SC Semibold"/>
        <a:cs typeface="PingFang SC Semibold"/>
      </a:majorFont>
      <a:minorFont>
        <a:latin typeface="PingFang SC Regular"/>
        <a:ea typeface="PingFang SC Regular"/>
        <a:cs typeface="PingFang SC Regular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PingFang SC Medium"/>
            <a:ea typeface="PingFang SC Medium"/>
            <a:cs typeface="PingFang SC Medium"/>
            <a:sym typeface="PingFang SC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PingFang SC Regular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