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was dismissed on 14 January 2025 </w:t>
      </w:r>
      <w:r>
        <w:t xml:space="preserve">without any disciplinary process.</w:t>
      </w:r>
    </w:p>
    <w:p>
      <w:r>
        <w:t xml:space="preserve">Employer: Acme Logistics Ltd.</w:t>
      </w:r>
    </w:p>
    <w:p>
      <w:r>
        <w:t xml:space="preserve">EDT: 2025-01-14</w:t>
      </w:r>
    </w:p>
    <w:sectPr/>
  </w:body>
</w:document>
</file>