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widowControl w:val="0"/>
        <w:spacing w:line="400" w:lineRule="exact" w:before="0" w:after="180"/>
        <w:ind w:firstLine="0"/>
        <w:jc w:val="center"/>
        <w:autoSpaceDE w:val="0"/>
        <w:autoSpaceDN w:val="0"/>
      </w:pPr>
      <w:r>
        <w:rPr>
          <w:rFonts w:ascii="宋体" w:hAnsi="宋体" w:eastAsia="宋体"/>
          <w:b/>
          <w:color w:val="000000"/>
          <w:sz w:val="30"/>
        </w:rPr>
        <w:t>CodeClinic毕业设计合格性与功能完整性评估</w:t>
      </w:r>
    </w:p>
    <w:p>
      <w:pPr>
        <w:keepNext w:val="0"/>
        <w:keepLines w:val="0"/>
        <w:pageBreakBefore w:val="0"/>
        <w:widowControl w:val="0"/>
        <w:spacing w:line="400" w:lineRule="exact" w:before="0" w:after="80"/>
        <w:ind w:firstLine="0"/>
        <w:jc w:val="center"/>
        <w:autoSpaceDE w:val="0"/>
        <w:autoSpaceDN w:val="0"/>
      </w:pPr>
      <w:r>
        <w:rPr>
          <w:rFonts w:ascii="宋体" w:hAnsi="宋体" w:eastAsia="宋体"/>
          <w:b w:val="0"/>
          <w:color w:val="000000"/>
          <w:sz w:val="24"/>
        </w:rPr>
        <w:t>毕业提交条件  功能不足  后续开发计划</w:t>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评估结论与检查范围</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截至2026年10月28日，本项目已经具备应用型本科毕业设计的主要功能和工作量基础，但当前版本尚不具备直接作为最终毕业成果提交的充分条件。主要不足集中在错题修改与分析结果的一致性、异常中断后的恢复、页面功能补齐、智能解析效果验证以及正式论文材料。此结论是项目预验收判断，不是学校的成绩认定。</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（1）工程基础基本具备。已实现账户、错题管理、模型调用、分析保存、知识点归纳、人工判断、复习安排和统计。无需为了增加功能数量而重做系统。</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（2）功能完整性尚未通过。检查发现3项优先修复的处理问题和5项页面、容量或追踪不足，详见F01—F08。源代码能够支持这些判断，但本次未逐项启动真实服务复现。</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（3）效果证据不足。30道是开题报告规定的正式样本量；现有150条只是候选来源，原评分表仍未评分。前30条只完成编译预检查，尚未完成类型核验、模型对照及人工评分，不能给出准确率或学习提升结论。</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（4）提交材料不足。抽查稿件仍为短论文结构，缺少完整目录和系统设计、测试支撑；不同目录版本不一致，任务书暂存稿身份信息也需核对。</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本次检查覆盖任务书暂存稿的六类要求、主要服务端处理代码、浏览器页面、建表脚本、现有测试、实验文件和五份论文稿。重新执行mvn -q test，16项测试全部通过，失败、错误及跳过均为0。测试通过只能说明现有测试覆盖的行为正常。</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检查基线为Git提交4f4305835a5eb49c2277f17f220b90a9857439ba。检查开始时工作区干净，远程同名分支与本地一致。本次只形成评估和计划，不修改业务代码，不执行数据库迁移。</w:t>
      </w:r>
    </w:p>
    <w:p>
      <w:r>
        <w:br w:type="page"/>
      </w:r>
    </w:p>
    <w:p>
      <w:pPr>
        <w:pStyle w:val="Heading1"/>
        <w:keepNext w:val="0"/>
        <w:keepLines w:val="0"/>
        <w:pageBreakBefore w:val="0"/>
        <w:widowControl w:val="0"/>
        <w:spacing w:line="400" w:lineRule="exact" w:before="0" w:after="180"/>
        <w:ind w:firstLine="0"/>
        <w:jc w:val="center"/>
        <w:autoSpaceDE w:val="0"/>
        <w:autoSpaceDN w:val="0"/>
      </w:pPr>
      <w:r>
        <w:rPr>
          <w:rFonts w:ascii="宋体" w:hAnsi="宋体" w:eastAsia="宋体"/>
          <w:b/>
          <w:color w:val="000000"/>
          <w:sz w:val="30"/>
        </w:rPr>
        <w:t>目录</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评估结论与检查范围　1</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判断依据与要求对照　3</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功能完整性检查　4</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优先修复的功能问题　5</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页面与边界处理不足　6</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实验与毕业材料不足　7</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后续开发与交付计划　8</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验收步骤与完成标准　9</w:t>
      </w:r>
    </w:p>
    <w:p>
      <w:pPr>
        <w:keepNext w:val="0"/>
        <w:keepLines w:val="0"/>
        <w:pageBreakBefore w:val="0"/>
        <w:widowControl w:val="0"/>
        <w:spacing w:line="400" w:lineRule="exact" w:before="0" w:after="240"/>
        <w:ind w:firstLine="0"/>
        <w:jc w:val="center"/>
        <w:autoSpaceDE w:val="0"/>
        <w:autoSpaceDN w:val="0"/>
      </w:pPr>
      <w:r>
        <w:rPr>
          <w:rFonts w:ascii="宋体" w:hAnsi="宋体" w:eastAsia="宋体"/>
          <w:b w:val="0"/>
          <w:color w:val="000000"/>
          <w:sz w:val="24"/>
        </w:rPr>
        <w:t>证据索引与检查边界　10</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判断依据与要求对照</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本次按学校正式撰写规范、任务书暂存稿、用户提供的开题报告和当前实现逐项对照。开题报告将正式实验限定为30道Java错题；工作区旧清单中的字数与文献数表述与正式规范冲突。[S01—S03]</w:t>
      </w:r>
    </w:p>
    <w:tbl>
      <w:tblPr>
        <w:tblStyle w:val="TableGrid"/>
        <w:tblW w:type="auto" w:w="0"/>
        <w:tblLayout w:type="fixed"/>
        <w:tblLook w:firstColumn="1" w:firstRow="1" w:lastColumn="0" w:lastRow="0" w:noHBand="0" w:noVBand="1" w:val="04A0"/>
      </w:tblPr>
      <w:tblGrid>
        <w:gridCol w:w="1531"/>
        <w:gridCol w:w="5669"/>
        <w:gridCol w:w="1587"/>
      </w:tblGrid>
      <w:tr>
        <w:trPr>
          <w:tblHeader/>
        </w:trP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检查项</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依据与现状</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判断</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选题与工作量</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围绕编程错题保存、分析和复习，有页面、数据库和实际处理代码；可支撑系统设计与实现类论文。</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基本具备</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任务书功能</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账户、错题、模型分析、历史、知识点、统计均有实现；筛选、历史详情和异常处理仍有缺口。</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部分满足</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工程验证</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本次16项自动测试通过；未重新进行当前版本完整Postman及页面操作验收。</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部分满足</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智能解析效果</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原评分表300行均未评分；30条候选只完成编译预检查，无法支撑解析正确率。</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证据不足</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论文篇幅</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正式规范要求理工科不少于6000字；抽查的学校规范版正文仅4553个非空白字符。</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尚未达标</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参考文献</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正式规范要求不少于15篇、至少2篇外文；学校规范版有16条编号，仓库论文仅7条。</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版本不一致</w:t>
            </w:r>
          </w:p>
        </w:tc>
      </w:tr>
      <w:tr>
        <w:tc>
          <w:tcPr>
            <w:tcW w:type="dxa" w:w="153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提交与答辩</w:t>
            </w:r>
          </w:p>
        </w:tc>
        <w:tc>
          <w:tcPr>
            <w:tcW w:type="dxa" w:w="566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完整论文、评阅、检测、答辩和过程材料需要按学校流程落实。当前不能据代码直接认定毕业合格。</w:t>
            </w:r>
          </w:p>
        </w:tc>
        <w:tc>
          <w:tcPr>
            <w:tcW w:type="dxa" w:w="1587"/>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待完成或核实</w:t>
            </w:r>
          </w:p>
        </w:tc>
      </w:tr>
    </w:tbl>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6000字、15篇和2篇外文来自已提供正式规范的第十五节、第十一节；参考文献数量符合要求不代表引用准确、外文比例和正文对应关系已经通过检查。本次没有逐篇复核论文全部文献。</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学校公开质量说明强调真实开展课题、开题和中期检查、答辩及归档管理。[S12]该说明发布于2023年，不能据此推定2027届具体查重比例、评分权重或截止日期。本次未取得2027届本专业最终评分表及已签字任务书，最终以学院通知和指导教师确认为准。</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功能完整性检查</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“已实现”表示已找到对应处理与页面；“部分”表示用户操作仍有缺口；“待实测”表示本次没有完成真实服务验证。以下按用户实际操作检查，不按文件数量计算完成率。</w:t>
      </w:r>
    </w:p>
    <w:tbl>
      <w:tblPr>
        <w:tblStyle w:val="TableGrid"/>
        <w:tblW w:type="auto" w:w="0"/>
        <w:tblLayout w:type="fixed"/>
        <w:tblLook w:firstColumn="1" w:firstRow="1" w:lastColumn="0" w:lastRow="0" w:noHBand="0" w:noVBand="1" w:val="04A0"/>
      </w:tblPr>
      <w:tblGrid>
        <w:gridCol w:w="1701"/>
        <w:gridCol w:w="3798"/>
        <w:gridCol w:w="3288"/>
      </w:tblGrid>
      <w:tr>
        <w:trPr>
          <w:tblHeader/>
        </w:trP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功能</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当前完成情况</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不足与下一步</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注册登录与身份隔离</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已实现注册、登录、个人资料查询及本人数据限制；相关测试部分覆盖。</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补当前版本双账号越权验收。</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邮箱找回密码</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已有验证码、有效期、错误次数限制、发件配置和重置后旧登录凭证失效。</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真实收件、验证码重用和到期仍待本次验收。</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错题录入与维护</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字段录入、查询、修改、删除、分页已实现。</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F01—F03影响分析期间和编辑后的处理。</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错题搜索与筛选</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关键词、语言、状态有页面；错误类型有后端条件。</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错误类型缺页面入口，见F04。</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调用真实模型</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可对接本机模型或兼容服务，有超时、重试、调用次数限制。</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当前硬件上的成功率与等待时间待测。</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结果完整性检查</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检查必需文本和1至6个知识点；解析后保存结果。</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不验证解释正确性或参考代码能否运行。</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分析历史</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后端返回旧结果，页面列出次数、时间、类型和模型。</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页面不能展开旧原因、建议和代码，见F05。</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人工判断</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可保存准确、不准确、无法判断及说明。</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这是用户反馈，不等于专家评分。</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知识点与统计</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个人知识点列表、错题与分析数量、完成率已实现。</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编辑后旧关联未失效，见F02；并非知识图谱推理。</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复习安排</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记录记住与否，按1、3、7、14、30天安排回顾。</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前100条限制、旧记录与备注入口不足，见F06。</w:t>
            </w:r>
          </w:p>
        </w:tc>
      </w:tr>
      <w:tr>
        <w:tc>
          <w:tcPr>
            <w:tcW w:type="dxa" w:w="1701"/>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界面与部署材料</w:t>
            </w:r>
          </w:p>
        </w:tc>
        <w:tc>
          <w:tcPr>
            <w:tcW w:type="dxa" w:w="379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有中文浅深色工作台、启动说明、建表脚本和Postman集合。</w:t>
            </w:r>
          </w:p>
        </w:tc>
        <w:tc>
          <w:tcPr>
            <w:tcW w:type="dxa" w:w="3288"/>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本次未重新进行浏览器全流程及空库部署验证。</w:t>
            </w:r>
          </w:p>
        </w:tc>
      </w:tr>
    </w:tbl>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管理员后台、移动应用、自动运行用户代码和多实例部署未出现在已核对任务书的必要功能中，本计划不把这些功能列为毕业前必做。页面支持选择多种语言，也不等于已验证多语言诊断质量。</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优先修复的功能问题</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（1）F01 分析期间的修改和删除缺少一致保护　严重程度：高</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问题与依据：WrongQuestionService.delete直接删除，不检查“分析中”；update先读取再保存，读取与保存之间状态可能被分析请求改变。AnalysisService完成后又将开始时读取的错题对象整体写回。[S04、S05]</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为什么是问题：分析仍运行时删除会连带删除相关数据，随后保存结果可能失败；修改与分析交错执行时，较早读取的内容可能覆盖新内容。detail还会在分析中拒绝只读查询，并提示“修改”，而update的提示又写成“删除”，操作含义不一致。</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修改建议与验收：在数据库执行修改或删除的同一条操作中检查用户与当前状态；分析结束只写需要改变的状态字段。允许查看分析中详情，禁用冲突操作。用两条并行请求验证分析期间的修改、删除返回409，题目内容不丢失；本项属于静态代码确认，交错结果仍需并发实测。</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（2）F02 修改后的错题仍展示旧分析和旧知识点　严重程度：高</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问题与依据：update把状态重置为待分析，但没有使旧结果和知识点关联失效；detail仍调用latestOrNull返回最近旧结果，页面只判断结果是否存在就显示“分析结果已生成”。[S04—S06]</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为什么是问题：用户把代码改成另一种错误后，页面仍可能展示上次解释，知识点与错误类型筛选也继续使用旧分析，形成“新代码配旧结论”。</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修改建议与验收：区分本次内容的有效结果与历史结果；只有代码、题意、语言、报错等分析输入改变时使当前结果失效，保留历史并标明所属内容。只改个人笔记不必作废分析。验证修改代码后不再把旧解释作为当前结果，重新分析后恢复有效关联。</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（3）F03 服务中断后分析状态缺少恢复路径　严重程度：高</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问题与依据：调用模型前将状态写为1，只有正常返回或捕获异常才改为成功或失败；未找到启动恢复或到期处理。进程被终止后再次分析会被状态检查拒绝。[S05]</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修改建议与验收：先按现有单实例部署实现启动时识别遗留任务并标记失败，保留说明和重试入口；不要在正常模型调用仍执行时随意解锁。在隔离环境中分析途中停止并重启服务，确认题目可查看、可重新分析且不会重复保存。</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页面与边界处理不足</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（1）F04 错误类型筛选只有后端　严重程度：中</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renderQuestions只有关键词、语言、状态，任务书要求的错误类型无法通过页面选择；后端已有errorType条件。[S03、S04、S06]补同一筛选表单及清除操作，并验证翻页后条件保留。错误类型来自模型自由文本，应先统一常见分类或提供明确的文本查询方式，避免用户无法匹配。</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（2）F05 历史结果不能完整查看　严重程度：中</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renderHistory只输出类型、时间、模型等摘要，没有旧记录详情入口，虽然history接口已经返回完整字段。[S05、S06]可直接复用现有结果展示函数展开历史记录，同时显示记录编号、生成时间和关联内容，避免额外开发重复接口。验收至少两次分析后，两个版本的原因、建议和代码均可打开。</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（3）F06 复习记录难以持续回看　严重程度：中</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ReviewService.list固定LIMIT 100，页面明确只显示前100条且不能翻页；history接口和note字段存在，但页面未提供历史查看及备注输入。[S06、S07]补分页、历史和备注入口。准备101条错题验证全部可访问；提交“还需练习”与“已经记住”后能回看时间与备注。此项是现有复习功能的完整性补齐，并非学校明示新增要求。</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（4）F07 输入字符上限与数据库容量不一致　严重程度：中</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代码及部分模型字段允许30000字符，建表脚本对应TEXT列最多容纳65535字节；大量中文时可通过字符检查却无法保存，例如22000个汉字的UTF-8编码已达66000字节。[S08、S13]按实际编码检查大小，或扩大必要字段并提供已有数据库升级脚本。验收边界以内可保存、超限返回清晰提示且无部分保存。本次未向真实数据库写入长文本。</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（5）F08 失败记录可保存但用户难以追踪　严重程度：低</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失败调用写入analysis_record；历史页面查询ai_analysis，只显示成功结果。[S05、S06]可补失败时间、简短原因和重试入口，保留内部原始响应，不把密码或服务密钥等内容暴露给用户。任务书要求保存失败记录已有实现，本项是追踪体验改进，不应误写成“未保存失败记录”。</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实验与毕业材料不足</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（1）E01 智能解析效果尚未形成可核验证据　优先级：毕业前必须补齐</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annotations.csv有300行，reviewer、root_cause_correct、fix_correct、code_runs、notes均为0个非空值。两份试运行文件各4条；早期文件2条无请求错误，v2文件仅1条无请求错误。无请求错误不等于结果正确，两份文件也不能混作独立完成案例。[S09]</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正式实验仅使用30道Java错题，按开题报告分为编译、运行、逻辑错误各10道。先逐题核实错误现场、正确代码、测试用例与原因，再固定样本；不能把现有候选集前30条自动视为合格样本。</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四组逐步增加输入信息的结构化提问，加一组完整输入的普通提问，共五种条件；每题每条件重复两次，共计划300次请求。由两名具备Java基础的评分者独立盲评，分歧须留记录。当前没有两名评分者，需与指导教师协调；在完成前不得写成已双人复核。代码只在隔离离线环境编译和测试，报告各项分母并保留失败。</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（2）E02 当前测试没有覆盖主要风险场景　优先级：毕业前必须补齐</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本次16项测试通过，但未找到直接覆盖AnalysisService、WrongQuestionService和AiResultParser的专门测试类。前30条候选用Java25逐条编译，30条均可编译、0条编译失败；没有执行这些程序，因此不能据此认定运行或逻辑错误，也未满足编译错误10条的要求。另从公开CodeNet派生数据中抽取10道不同题目的编译失败候选，题目描述、正确代码与人工核验仍待补齐。</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（3）E03 正式论文结构和版本仍未统一　优先级：毕业前必须补齐</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学校规范版从绪论至参考文献前共4553个非空白字符，其中汉字3918个，参考文献16条；仓库论文相同范围2692个非空白字符、参考文献7条。此为程序提取范围的统计，不替代学校Word字数口径。五份抽查稿均无独立目录，不能把已有短文直接作为完整毕业论文提交。[S11]补完整需求、设计、数据库关系、关键实现、测试及结论；图使用draw.io，测试使用Postman并留截图。</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（4）E04 任务书身份与正式依据需要确认　优先级：提交前必须核对</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tmp目录的附件3-patched.docx仍写吴佳玲、20220402119，而当前论文文件为严何涛、20230411330。它可能只是模板暂存稿，本次不能判定正式任务书也有同样错误。应锁定已签字任务书和正确论文版本，核对题目、姓名、学号及导师信息，并确认2027届具体评分、检测和归档要求。[S03、S11]</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后续开发与交付计划</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按一人每天投入4至6小时估算，建议安排约4至6周完成修复、30题实验与初稿，并额外协调两名评分者。以下是建议排期，学校节点以正式通知为准。</w:t>
      </w:r>
    </w:p>
    <w:tbl>
      <w:tblPr>
        <w:tblStyle w:val="TableGrid"/>
        <w:tblW w:type="auto" w:w="0"/>
        <w:tblLayout w:type="fixed"/>
        <w:tblLook w:firstColumn="1" w:firstRow="1" w:lastColumn="0" w:lastRow="0" w:noHBand="0" w:noVBand="1" w:val="04A0"/>
      </w:tblPr>
      <w:tblGrid>
        <w:gridCol w:w="1984"/>
        <w:gridCol w:w="4309"/>
        <w:gridCol w:w="2494"/>
      </w:tblGrid>
      <w:tr>
        <w:trPr>
          <w:tblHeader/>
        </w:trP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阶段及建议日期</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任务与实现位置</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交付与预计投入</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一 10月29日至30日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锁定任务书、评分表、正式论文和模型配置；建立F01—F08、E01—E04清单。</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范围及证据表；约0.5至1天。</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二 10月31日至11月5日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先处理F01、F03，再处理F02。修改WrongQuestionService、AnalysisService及必要的结果字段和页面；涉及表结构时补升级与回退说明。</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并发操作保护、遗留状态恢复、当前与历史结果分离；约3至4天。</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三 11月6日至9日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完成F04、F05、F06；app.js复用现有结果组件，ReviewService和Controller增加分页；补F07容量校验。F08有余量再做。</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页面可筛选、可看历史、复习可翻页及回看；约2至3天。</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四 11月10日至12日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为上述失败场景补测试，运行Maven；使用现有Postman集合验证双账号隔离、异常与成功流程，完成真实邮箱和模型演示。</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测试报告、Postman截图、问题关闭记录；约2至3天。</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五 11月13日至12月4日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筛选并核实30题，按五个条件各重复两次，保留300次请求记录；两名评分者独立复核。</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30题完整资料、对照结果、双人评分与分歧记录；耗时取决于模型与评分者。</w:t>
            </w:r>
          </w:p>
        </w:tc>
      </w:tr>
      <w:tr>
        <w:tc>
          <w:tcPr>
            <w:tcW w:type="dxa" w:w="198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六 12月5日至14日</w:t>
            </w:r>
          </w:p>
        </w:tc>
        <w:tc>
          <w:tcPr>
            <w:tcW w:type="dxa" w:w="4309"/>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统一论文、图表、文献和系统说明；空库部署、备份恢复、完整演示，交导师审阅。</w:t>
            </w:r>
          </w:p>
        </w:tc>
        <w:tc>
          <w:tcPr>
            <w:tcW w:type="dxa" w:w="2494"/>
          </w:tcPr>
          <w:p>
            <w:pPr>
              <w:keepNext w:val="0"/>
              <w:keepLines w:val="0"/>
              <w:pageBreakBefore w:val="0"/>
              <w:widowControl w:val="0"/>
              <w:spacing w:line="340" w:lineRule="exact" w:after="60" w:before="60"/>
              <w:ind w:firstLine="0"/>
              <w:jc w:val="left"/>
              <w:autoSpaceDE w:val="0"/>
              <w:autoSpaceDN w:val="0"/>
            </w:pPr>
            <w:r>
              <w:rPr>
                <w:rFonts w:ascii="宋体" w:hAnsi="宋体" w:eastAsia="宋体"/>
                <w:b w:val="0"/>
                <w:color w:val="000000"/>
                <w:sz w:val="24"/>
              </w:rPr>
              <w:t>正式初稿与可复现演示包；约3至4天。</w:t>
            </w:r>
          </w:p>
        </w:tc>
      </w:tr>
    </w:tbl>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30题、五种条件、各重复两次共300份输出，两人各评一次共600份评分。按每人每份5至10分钟估算，累计人工评分约50至100小时，未计入标准答案准备、隔离测试、模型等待和分歧处理。</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阶段二、三每项先构造能暴露问题的场景，再修复和复测；完成一组即单独提交并上传GitHub，记录对应代码版本。任何数据库修改先备份，在临时库验证；修改建表脚本并不会自动改变已有表。</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验收步骤与完成标准</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以下标准用于本项目后续验收，不是替学校制定分数线。必须修复项F01—F07应全部关闭；F08如暂缓，应在论文和使用说明中写清范围。</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（1）错题与筛选：新增、修改、删除、查询、翻页均通过；关键词、语言、错误类型、状态及清除筛选能组合工作，数据只属于当前用户。</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（2）分析期间操作：同一道题连续提交只允许一次进行；并行修改和删除有明确拒绝；只读详情可查看。不得出现新代码被旧对象覆盖或删除后继续保存孤立结果。</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（3）结果有效性：修改分析输入后旧结果只在历史出现；新输入对应新分析。仅改个人笔记不必浪费一次模型调用。知识点和筛选结果与当前有效分析一致。</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（4）异常恢复：模型断开、超时、空响应、错误格式、保存失败均有清晰状态；进程中断后重启可再次分析，且不会重复写入。</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（5）历史与复习：至少两版分析内容可完整回看；101条错题都可进入复习；记录、时间和备注可查看；未到时间不能重复累计掌握次数。</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（6）身份与邮件：两账号交叉访问错题、分析、反馈和复习应失败；真实邮箱能收到验证码；过期和已使用验证码不能重置；重置后旧登录凭证失效。</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（7）输入与存储：空值、超长、中文临界大小及不合法分页有明确响应；保存失败时不留下半条分析与半套知识点。</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（8）证据留存：在源代码目录运行mvn -q test并保存报告；用C:\Users\Moon\AppData\Local\Postman中的Postman执行集合，同时检查HTTP状态和返回内容code，输出带版本与日期的截图及运行报告。</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9）模型评估：先补齐30题的标准答案和五条件实验工具，再小样本试运行；完整运行后保存300次请求的原始结果，由两名评分者独立核对并汇总。现有introclass.py只支持两种提示，不能用于宣称已完成开题报告的五条件实验。不得在应用服务器直接执行生成代码。</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（10）毕业交付：按最终稿完成6000字及文献要求复核；各项功能能对应到实现、图表或测试。用draw.io绘制设计图，保留源文件；论文、演示数据、启动说明、数据库脚本、测试截图和源代码版本一致。</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退出本轮开发的条件是：关键问题已关闭、既有测试及新增场景通过、真实运行可演示、评分与结论可追溯、完整初稿通过导师审阅。查重、评阅、答辩及归档按2027届正式流程另行完成。</w:t>
      </w:r>
    </w:p>
    <w:p>
      <w:r>
        <w:br w:type="page"/>
      </w:r>
    </w:p>
    <w:p>
      <w:pPr>
        <w:pStyle w:val="Heading1"/>
        <w:keepNext w:val="0"/>
        <w:keepLines w:val="0"/>
        <w:pageBreakBefore w:val="0"/>
        <w:widowControl w:val="0"/>
        <w:spacing w:line="400" w:lineRule="exact" w:before="0" w:after="180"/>
        <w:ind w:firstLine="0"/>
        <w:jc w:val="left"/>
        <w:autoSpaceDE w:val="0"/>
        <w:autoSpaceDN w:val="0"/>
      </w:pPr>
      <w:r>
        <w:rPr>
          <w:rFonts w:ascii="宋体" w:hAnsi="宋体" w:eastAsia="宋体"/>
          <w:b/>
          <w:color w:val="000000"/>
          <w:sz w:val="30"/>
        </w:rPr>
        <w:t>证据索引与检查边界</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源代码根目录R为D:\IntelliJ IDEA 2025.1.1.1\SpringBootBC；材料根目录M为C:\Users\Moon\Documents\ChatGPT\SpringBootBC。下文J代表R\src\main\java\com\codeclinic；F代表R\src\main\resources。行号对应4f43058。</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（1）S01 学校正式规范：M\tmp\official-guideline\extracted.txt，第048、068号提取段分别说明文献和字数要求；同目录保留正式规范Word及PDF。</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（2）S02 旧整理清单：M\docs\江西工程学院2027届本科毕业论文写作规范清单.md，第三部分第5项与正式规范存在冲突。</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（3）S03 任务书暂存稿：M\tmp\attachment3-taskbook\附件3-patched.docx；用于功能对照，身份信息与签字有效性未确认。</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（4）S04 J\question\service\WrongQuestionService.java，第60、66、76行；S05 J\analysis\service\AnalysisService.java，第58至117行及saveRecord方法。</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（5）S06 F\static\assets\app.js，第42、49、51、56、63、64行；S07 J\review\ReviewService.java，第31、46行及record方法。</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（6）S08 J\question\dto\WrongQuestionRequest.java，第10行；J\analysis\service\AiResultParser.java，第50行；F\schema-mysql.sql，第33、51、53行。</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（7）S09 R\experiments下的候选清单、评分表和试运行文件；本次30题编译预检查记录在M\output\毕业设计验收评估。S10 R\target\surefire-reports及src\test\java。</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（8）S11 M根目录无黑点稿、论文修订版、论文参考文献规范版、论文学校规范版，以及R\docs\papers下的同题DOCX。正文统计范围为绪论至参考文献前。</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（9）S12 江西工程学院质量与评估处：以本为本 多措并举 不断提升本科毕业设计（论文）质量，2023-07-21。https://nec.jxue.edu.cn/2023/0721/c157a6756/page.htm。仅作过程管理背景依据。</w:t>
      </w:r>
    </w:p>
    <w:p>
      <w:pPr>
        <w:keepNext w:val="0"/>
        <w:keepLines w:val="0"/>
        <w:pageBreakBefore w:val="0"/>
        <w:widowControl w:val="0"/>
        <w:spacing w:line="400" w:lineRule="exact" w:before="0" w:after="80"/>
        <w:ind w:firstLine="0"/>
        <w:jc w:val="left"/>
        <w:autoSpaceDE w:val="0"/>
        <w:autoSpaceDN w:val="0"/>
      </w:pPr>
      <w:r>
        <w:rPr>
          <w:rFonts w:ascii="宋体" w:hAnsi="宋体" w:eastAsia="宋体"/>
          <w:b w:val="0"/>
          <w:color w:val="000000"/>
          <w:sz w:val="24"/>
        </w:rPr>
        <w:t>（10）S13 Oracle：MySQL 8.4 Reference Manual，13.3.1 String Data Type Syntax。https://dev.mysql.com/doc/refman/8.4/en/string-type-syntax.html。说明TEXT容量，不代表本机数据库版本。</w:t>
      </w:r>
    </w:p>
    <w:p>
      <w:pPr>
        <w:keepNext w:val="0"/>
        <w:keepLines w:val="0"/>
        <w:pageBreakBefore w:val="0"/>
        <w:widowControl w:val="0"/>
        <w:spacing w:line="400" w:lineRule="exact" w:before="0" w:after="80"/>
        <w:ind w:firstLine="480"/>
        <w:jc w:val="left"/>
        <w:autoSpaceDE w:val="0"/>
        <w:autoSpaceDN w:val="0"/>
      </w:pPr>
      <w:r>
        <w:rPr>
          <w:rFonts w:ascii="宋体" w:hAnsi="宋体" w:eastAsia="宋体"/>
          <w:b w:val="0"/>
          <w:color w:val="000000"/>
          <w:sz w:val="24"/>
        </w:rPr>
        <w:t>开题报告为C:\Users\Moon\Desktop\已完成\附件4.本科毕业设计（论文）开题报告.docx。补充候选来源：https://huggingface.co/datasets/criyle/codenet-compile-errors-v2 。候选只经过编译预检查，未运行程序或模型实验；最终成绩由学校认定。</w:t>
      </w:r>
    </w:p>
    <w:sectPr w:rsidR="00FC693F" w:rsidRPr="0006063C" w:rsidSect="00034616">
      <w:headerReference w:type="default" r:id="rId9"/>
      <w:footerReference w:type="default" r:id="rId10"/>
      <w:pgSz w:w="11906" w:h="16838"/>
      <w:pgMar w:top="1134" w:right="1361" w:bottom="1134" w:left="136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20"/>
      </w:rPr>
      <w:t>第</w:t>
    </w:r>
    <w:fldSimple w:instr="PAGE"/>
    <w:r>
      <w:rPr>
        <w:rFonts w:ascii="宋体" w:hAnsi="宋体" w:eastAsia="宋体"/>
        <w:b w:val="0"/>
        <w:color w:val="000000"/>
        <w:sz w:val="20"/>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000000"/>
        <w:sz w:val="18"/>
      </w:rPr>
      <w:t>CodeClinic本科毕业设计预验收　2026年10月28日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val="0"/>
    </w:pPr>
    <w:rPr>
      <w:rFonts w:ascii="宋体" w:hAnsi="宋体" w:eastAsia="宋体"/>
      <w:sz w:val="24"/>
    </w:rPr>
  </w:style>
  <w:style w:type="paragraph" w:styleId="Header">
    <w:name w:val="header"/>
    <w:basedOn w:val="Normal"/>
    <w:link w:val="HeaderChar"/>
    <w:uiPriority w:val="99"/>
    <w:unhideWhenUsed/>
    <w:rsid w:val="00E618BF"/>
    <w:pPr>
      <w:keepNext w:val="0"/>
      <w:keepLines w:val="0"/>
      <w:pageBreakBefore w:val="0"/>
      <w:widowControl w:val="0"/>
      <w:tabs>
        <w:tab w:val="center" w:pos="4680"/>
        <w:tab w:val="right" w:pos="9360"/>
      </w:tabs>
      <w:spacing w:after="0" w:line="240" w:lineRule="auto"/>
    </w:pPr>
    <w:rPr>
      <w:rFonts w:ascii="宋体" w:hAnsi="宋体" w:eastAsia="宋体"/>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pageBreakBefore w:val="0"/>
      <w:widowControl w:val="0"/>
      <w:tabs>
        <w:tab w:val="center" w:pos="4680"/>
        <w:tab w:val="right" w:pos="9360"/>
      </w:tabs>
      <w:spacing w:after="0" w:line="240" w:lineRule="auto"/>
    </w:pPr>
    <w:rPr>
      <w:rFonts w:ascii="宋体" w:hAnsi="宋体" w:eastAsia="宋体"/>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widowControl w:val="0"/>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val="0"/>
      <w:keepLines w:val="0"/>
      <w:pageBreakBefore w:val="0"/>
      <w:widowControl w:val="0"/>
      <w:spacing w:before="200" w:after="0"/>
      <w:outlineLvl w:val="1"/>
    </w:pPr>
    <w:rPr>
      <w:rFonts w:asciiTheme="majorHAnsi" w:eastAsiaTheme="majorEastAsia" w:hAnsiTheme="majorHAnsi" w:cstheme="majorBidi" w:ascii="宋体" w:hAnsi="宋体" w:eastAsia="宋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val="0"/>
      <w:keepLines w:val="0"/>
      <w:pageBreakBefore w:val="0"/>
      <w:widowControl w:val="0"/>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val="0"/>
      <w:keepLines w:val="0"/>
      <w:pageBreakBefore w:val="0"/>
      <w:widowControl w:val="0"/>
      <w:spacing w:before="200" w:after="0"/>
      <w:outlineLvl w:val="3"/>
    </w:pPr>
    <w:rPr>
      <w:rFonts w:asciiTheme="majorHAnsi" w:eastAsiaTheme="majorEastAsia" w:hAnsiTheme="majorHAnsi" w:cstheme="majorBidi" w:ascii="宋体" w:hAnsi="宋体" w:eastAsia="宋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val="0"/>
      <w:keepLines w:val="0"/>
      <w:pageBreakBefore w:val="0"/>
      <w:widowControl w:val="0"/>
      <w:spacing w:before="200" w:after="0"/>
      <w:outlineLvl w:val="4"/>
    </w:pPr>
    <w:rPr>
      <w:rFonts w:asciiTheme="majorHAnsi" w:eastAsiaTheme="majorEastAsia" w:hAnsiTheme="majorHAnsi" w:cstheme="majorBidi" w:ascii="宋体" w:hAnsi="宋体" w:eastAsia="宋体"/>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val="0"/>
      <w:keepLines w:val="0"/>
      <w:pageBreakBefore w:val="0"/>
      <w:widowControl w:val="0"/>
      <w:spacing w:before="200" w:after="0"/>
      <w:outlineLvl w:val="5"/>
    </w:pPr>
    <w:rPr>
      <w:rFonts w:asciiTheme="majorHAnsi" w:eastAsiaTheme="majorEastAsia" w:hAnsiTheme="majorHAnsi" w:cstheme="majorBidi" w:ascii="宋体" w:hAnsi="宋体" w:eastAsia="宋体"/>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val="0"/>
      <w:keepLines w:val="0"/>
      <w:pageBreakBefore w:val="0"/>
      <w:widowControl w:val="0"/>
      <w:spacing w:before="200" w:after="0"/>
      <w:outlineLvl w:val="6"/>
    </w:pPr>
    <w:rPr>
      <w:rFonts w:asciiTheme="majorHAnsi" w:eastAsiaTheme="majorEastAsia" w:hAnsiTheme="majorHAnsi" w:cstheme="majorBidi" w:ascii="宋体" w:hAnsi="宋体" w:eastAsia="宋体"/>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val="0"/>
      <w:keepLines w:val="0"/>
      <w:pageBreakBefore w:val="0"/>
      <w:widowControl w:val="0"/>
      <w:spacing w:before="200" w:after="0"/>
      <w:outlineLvl w:val="7"/>
    </w:pPr>
    <w:rPr>
      <w:rFonts w:asciiTheme="majorHAnsi" w:eastAsiaTheme="majorEastAsia" w:hAnsiTheme="majorHAnsi" w:cstheme="majorBidi" w:ascii="宋体" w:hAnsi="宋体" w:eastAsia="宋体"/>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val="0"/>
      <w:keepLines w:val="0"/>
      <w:pageBreakBefore w:val="0"/>
      <w:widowControl w:val="0"/>
      <w:spacing w:before="200" w:after="0"/>
      <w:outlineLvl w:val="8"/>
    </w:pPr>
    <w:rPr>
      <w:rFonts w:asciiTheme="majorHAnsi" w:eastAsiaTheme="majorEastAsia" w:hAnsiTheme="majorHAnsi" w:cstheme="majorBidi" w:ascii="宋体" w:hAnsi="宋体" w:eastAsia="宋体"/>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keepNext w:val="0"/>
      <w:keepLines w:val="0"/>
      <w:pageBreakBefore w:val="0"/>
      <w:widowControl w:val="0"/>
      <w:spacing w:after="0" w:line="240" w:lineRule="auto"/>
    </w:pPr>
    <w:rPr>
      <w:rFonts w:ascii="宋体" w:hAnsi="宋体" w:eastAsia="宋体"/>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widowControl w:val="0"/>
      <w:spacing w:after="300" w:line="240" w:lineRule="auto"/>
      <w:contextualSpacing/>
    </w:pPr>
    <w:rPr>
      <w:rFonts w:asciiTheme="majorHAnsi" w:eastAsiaTheme="majorEastAsia" w:hAnsiTheme="majorHAnsi" w:cstheme="majorBidi" w:ascii="宋体" w:hAnsi="宋体" w:eastAsia="宋体"/>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keepLines w:val="0"/>
      <w:pageBreakBefore w:val="0"/>
      <w:widowControl w:val="0"/>
      <w:numPr>
        <w:ilvl w:val="1"/>
      </w:numPr>
    </w:pPr>
    <w:rPr>
      <w:rFonts w:asciiTheme="majorHAnsi" w:eastAsiaTheme="majorEastAsia" w:hAnsiTheme="majorHAnsi" w:cstheme="majorBidi" w:ascii="宋体" w:hAnsi="宋体"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keepNext w:val="0"/>
      <w:keepLines w:val="0"/>
      <w:pageBreakBefore w:val="0"/>
      <w:widowControl w:val="0"/>
      <w:ind w:left="720"/>
      <w:contextualSpacing/>
    </w:pPr>
    <w:rPr>
      <w:rFonts w:ascii="宋体" w:hAnsi="宋体" w:eastAsia="宋体"/>
      <w:sz w:val="24"/>
    </w:rPr>
  </w:style>
  <w:style w:type="paragraph" w:styleId="BodyText">
    <w:name w:val="Body Text"/>
    <w:basedOn w:val="Normal"/>
    <w:link w:val="BodyTextChar"/>
    <w:uiPriority w:val="99"/>
    <w:unhideWhenUsed/>
    <w:rsid w:val="00AA1D8D"/>
    <w:pPr>
      <w:keepNext w:val="0"/>
      <w:keepLines w:val="0"/>
      <w:pageBreakBefore w:val="0"/>
      <w:widowControl w:val="0"/>
      <w:spacing w:after="120"/>
    </w:pPr>
    <w:rPr>
      <w:rFonts w:ascii="宋体" w:hAnsi="宋体" w:eastAsia="宋体"/>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keepNext w:val="0"/>
      <w:keepLines w:val="0"/>
      <w:pageBreakBefore w:val="0"/>
      <w:widowControl w:val="0"/>
      <w:spacing w:after="120" w:line="480" w:lineRule="auto"/>
    </w:pPr>
    <w:rPr>
      <w:rFonts w:ascii="宋体" w:hAnsi="宋体" w:eastAsia="宋体"/>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keepNext w:val="0"/>
      <w:keepLines w:val="0"/>
      <w:pageBreakBefore w:val="0"/>
      <w:widowControl w:val="0"/>
      <w:spacing w:after="120"/>
    </w:pPr>
    <w:rPr>
      <w:rFonts w:ascii="宋体" w:hAnsi="宋体" w:eastAsia="宋体"/>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keepNext w:val="0"/>
      <w:keepLines w:val="0"/>
      <w:pageBreakBefore w:val="0"/>
      <w:widowControl w:val="0"/>
      <w:ind w:left="360" w:hanging="360"/>
      <w:contextualSpacing/>
    </w:pPr>
    <w:rPr>
      <w:rFonts w:ascii="宋体" w:hAnsi="宋体" w:eastAsia="宋体"/>
      <w:sz w:val="24"/>
    </w:rPr>
  </w:style>
  <w:style w:type="paragraph" w:styleId="List2">
    <w:name w:val="List 2"/>
    <w:basedOn w:val="Normal"/>
    <w:uiPriority w:val="99"/>
    <w:unhideWhenUsed/>
    <w:rsid w:val="00326F90"/>
    <w:pPr>
      <w:keepNext w:val="0"/>
      <w:keepLines w:val="0"/>
      <w:pageBreakBefore w:val="0"/>
      <w:widowControl w:val="0"/>
      <w:ind w:left="720" w:hanging="360"/>
      <w:contextualSpacing/>
    </w:pPr>
    <w:rPr>
      <w:rFonts w:ascii="宋体" w:hAnsi="宋体" w:eastAsia="宋体"/>
      <w:sz w:val="24"/>
    </w:rPr>
  </w:style>
  <w:style w:type="paragraph" w:styleId="List3">
    <w:name w:val="List 3"/>
    <w:basedOn w:val="Normal"/>
    <w:uiPriority w:val="99"/>
    <w:unhideWhenUsed/>
    <w:rsid w:val="00326F90"/>
    <w:pPr>
      <w:keepNext w:val="0"/>
      <w:keepLines w:val="0"/>
      <w:pageBreakBefore w:val="0"/>
      <w:widowControl w:val="0"/>
      <w:ind w:left="1080" w:hanging="360"/>
      <w:contextualSpacing/>
    </w:pPr>
    <w:rPr>
      <w:rFonts w:ascii="宋体" w:hAnsi="宋体" w:eastAsia="宋体"/>
      <w:sz w:val="24"/>
    </w:rPr>
  </w:style>
  <w:style w:type="paragraph" w:styleId="ListBullet">
    <w:name w:val="List Bullet"/>
    <w:basedOn w:val="Normal"/>
    <w:uiPriority w:val="99"/>
    <w:unhideWhenUsed/>
    <w:rsid w:val="00326F90"/>
    <w:pPr>
      <w:keepNext w:val="0"/>
      <w:keepLines w:val="0"/>
      <w:pageBreakBefore w:val="0"/>
      <w:widowControl w:val="0"/>
      <w:numPr>
        <w:numId w:val="1"/>
      </w:numPr>
      <w:contextualSpacing/>
    </w:pPr>
    <w:rPr>
      <w:rFonts w:ascii="宋体" w:hAnsi="宋体" w:eastAsia="宋体"/>
      <w:sz w:val="24"/>
    </w:rPr>
  </w:style>
  <w:style w:type="paragraph" w:styleId="ListBullet2">
    <w:name w:val="List Bullet 2"/>
    <w:basedOn w:val="Normal"/>
    <w:uiPriority w:val="99"/>
    <w:unhideWhenUsed/>
    <w:rsid w:val="00326F90"/>
    <w:pPr>
      <w:keepNext w:val="0"/>
      <w:keepLines w:val="0"/>
      <w:pageBreakBefore w:val="0"/>
      <w:widowControl w:val="0"/>
      <w:numPr>
        <w:numId w:val="2"/>
      </w:numPr>
      <w:contextualSpacing/>
    </w:pPr>
    <w:rPr>
      <w:rFonts w:ascii="宋体" w:hAnsi="宋体" w:eastAsia="宋体"/>
      <w:sz w:val="24"/>
    </w:rPr>
  </w:style>
  <w:style w:type="paragraph" w:styleId="ListBullet3">
    <w:name w:val="List Bullet 3"/>
    <w:basedOn w:val="Normal"/>
    <w:uiPriority w:val="99"/>
    <w:unhideWhenUsed/>
    <w:rsid w:val="00326F90"/>
    <w:pPr>
      <w:keepNext w:val="0"/>
      <w:keepLines w:val="0"/>
      <w:pageBreakBefore w:val="0"/>
      <w:widowControl w:val="0"/>
      <w:numPr>
        <w:numId w:val="3"/>
      </w:numPr>
      <w:contextualSpacing/>
    </w:pPr>
    <w:rPr>
      <w:rFonts w:ascii="宋体" w:hAnsi="宋体" w:eastAsia="宋体"/>
      <w:sz w:val="24"/>
    </w:rPr>
  </w:style>
  <w:style w:type="paragraph" w:styleId="ListNumber">
    <w:name w:val="List Number"/>
    <w:basedOn w:val="Normal"/>
    <w:uiPriority w:val="99"/>
    <w:unhideWhenUsed/>
    <w:rsid w:val="00326F90"/>
    <w:pPr>
      <w:keepNext w:val="0"/>
      <w:keepLines w:val="0"/>
      <w:pageBreakBefore w:val="0"/>
      <w:widowControl w:val="0"/>
      <w:numPr>
        <w:numId w:val="5"/>
      </w:numPr>
      <w:contextualSpacing/>
    </w:pPr>
    <w:rPr>
      <w:rFonts w:ascii="宋体" w:hAnsi="宋体" w:eastAsia="宋体"/>
      <w:sz w:val="24"/>
    </w:rPr>
  </w:style>
  <w:style w:type="paragraph" w:styleId="ListNumber2">
    <w:name w:val="List Number 2"/>
    <w:basedOn w:val="Normal"/>
    <w:uiPriority w:val="99"/>
    <w:unhideWhenUsed/>
    <w:rsid w:val="0029639D"/>
    <w:pPr>
      <w:keepNext w:val="0"/>
      <w:keepLines w:val="0"/>
      <w:pageBreakBefore w:val="0"/>
      <w:widowControl w:val="0"/>
      <w:numPr>
        <w:numId w:val="6"/>
      </w:numPr>
      <w:contextualSpacing/>
    </w:pPr>
    <w:rPr>
      <w:rFonts w:ascii="宋体" w:hAnsi="宋体" w:eastAsia="宋体"/>
      <w:sz w:val="24"/>
    </w:rPr>
  </w:style>
  <w:style w:type="paragraph" w:styleId="ListNumber3">
    <w:name w:val="List Number 3"/>
    <w:basedOn w:val="Normal"/>
    <w:uiPriority w:val="99"/>
    <w:unhideWhenUsed/>
    <w:rsid w:val="0029639D"/>
    <w:pPr>
      <w:keepNext w:val="0"/>
      <w:keepLines w:val="0"/>
      <w:pageBreakBefore w:val="0"/>
      <w:widowControl w:val="0"/>
      <w:numPr>
        <w:numId w:val="7"/>
      </w:numPr>
      <w:contextualSpacing/>
    </w:pPr>
    <w:rPr>
      <w:rFonts w:ascii="宋体" w:hAnsi="宋体" w:eastAsia="宋体"/>
      <w:sz w:val="24"/>
    </w:rPr>
  </w:style>
  <w:style w:type="paragraph" w:styleId="ListContinue">
    <w:name w:val="List Continue"/>
    <w:basedOn w:val="Normal"/>
    <w:uiPriority w:val="99"/>
    <w:unhideWhenUsed/>
    <w:rsid w:val="0029639D"/>
    <w:pPr>
      <w:keepNext w:val="0"/>
      <w:keepLines w:val="0"/>
      <w:pageBreakBefore w:val="0"/>
      <w:widowControl w:val="0"/>
      <w:spacing w:after="120"/>
      <w:ind w:left="360"/>
      <w:contextualSpacing/>
    </w:pPr>
    <w:rPr>
      <w:rFonts w:ascii="宋体" w:hAnsi="宋体" w:eastAsia="宋体"/>
      <w:sz w:val="24"/>
    </w:rPr>
  </w:style>
  <w:style w:type="paragraph" w:styleId="ListContinue2">
    <w:name w:val="List Continue 2"/>
    <w:basedOn w:val="Normal"/>
    <w:uiPriority w:val="99"/>
    <w:unhideWhenUsed/>
    <w:rsid w:val="0029639D"/>
    <w:pPr>
      <w:keepNext w:val="0"/>
      <w:keepLines w:val="0"/>
      <w:pageBreakBefore w:val="0"/>
      <w:widowControl w:val="0"/>
      <w:spacing w:after="120"/>
      <w:ind w:left="720"/>
      <w:contextualSpacing/>
    </w:pPr>
    <w:rPr>
      <w:rFonts w:ascii="宋体" w:hAnsi="宋体" w:eastAsia="宋体"/>
      <w:sz w:val="24"/>
    </w:rPr>
  </w:style>
  <w:style w:type="paragraph" w:styleId="ListContinue3">
    <w:name w:val="List Continue 3"/>
    <w:basedOn w:val="Normal"/>
    <w:uiPriority w:val="99"/>
    <w:unhideWhenUsed/>
    <w:rsid w:val="0029639D"/>
    <w:pPr>
      <w:keepNext w:val="0"/>
      <w:keepLines w:val="0"/>
      <w:pageBreakBefore w:val="0"/>
      <w:widowControl w:val="0"/>
      <w:spacing w:after="120"/>
      <w:ind w:left="1080"/>
      <w:contextualSpacing/>
    </w:pPr>
    <w:rPr>
      <w:rFonts w:ascii="宋体" w:hAnsi="宋体" w:eastAsia="宋体"/>
      <w:sz w:val="24"/>
    </w:rPr>
  </w:style>
  <w:style w:type="paragraph" w:styleId="MacroText">
    <w:name w:val="macro"/>
    <w:link w:val="MacroTextChar"/>
    <w:uiPriority w:val="99"/>
    <w:unhideWhenUsed/>
    <w:rsid w:val="0029639D"/>
    <w:pPr>
      <w:keepNext w:val="0"/>
      <w:keepLines w:val="0"/>
      <w:pageBreakBefore w:val="0"/>
      <w:widowControl w:val="0"/>
      <w:tabs>
        <w:tab w:val="left" w:pos="576"/>
        <w:tab w:val="left" w:pos="1152"/>
        <w:tab w:val="left" w:pos="1728"/>
        <w:tab w:val="left" w:pos="2304"/>
        <w:tab w:val="left" w:pos="2880"/>
        <w:tab w:val="left" w:pos="3456"/>
        <w:tab w:val="left" w:pos="4032"/>
      </w:tabs>
    </w:pPr>
    <w:rPr>
      <w:rFonts w:ascii="宋体" w:hAnsi="宋体" w:eastAsia="宋体"/>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keepLines w:val="0"/>
      <w:pageBreakBefore w:val="0"/>
      <w:widowControl w:val="0"/>
    </w:pPr>
    <w:rPr>
      <w:rFonts w:ascii="宋体" w:hAnsi="宋体" w:eastAsia="宋体"/>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val="0"/>
      <w:pageBreakBefore w:val="0"/>
      <w:widowControl w:val="0"/>
      <w:spacing w:line="240" w:lineRule="auto"/>
    </w:pPr>
    <w:rPr>
      <w:rFonts w:ascii="宋体" w:hAnsi="宋体" w:eastAsia="宋体"/>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keepNext w:val="0"/>
      <w:keepLines w:val="0"/>
      <w:pageBreakBefore w:val="0"/>
      <w:widowControl w:val="0"/>
      <w:spacing w:before="200" w:after="280"/>
      <w:ind w:left="936" w:right="936"/>
    </w:pPr>
    <w:rPr>
      <w:rFonts w:ascii="宋体" w:hAnsi="宋体" w:eastAsia="宋体"/>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val="0"/>
      <w:keepLines w:val="0"/>
      <w:pageBreakBefore w:val="0"/>
      <w:widowControl w:val="0"/>
      <w:outlineLvl w:val="9"/>
    </w:pPr>
    <w:rPr>
      <w:rFonts w:ascii="宋体" w:hAnsi="宋体" w:eastAsia="宋体"/>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