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36"/>
          <w:szCs w:val="36"/>
        </w:rPr>
        <w:t xml:space="preserve">Beyond Passing Tests:</w:t>
      </w:r>
    </w:p>
    <w:p>
      <w:pPr>
        <w:spacing w:after="400"/>
        <w:jc w:val="center"/>
      </w:pPr>
      <w:r>
        <w:rPr>
          <w:rFonts w:ascii="Calibri" w:cs="Calibri" w:eastAsia="Calibri" w:hAnsi="Calibri"/>
          <w:b/>
          <w:bCs/>
          <w:sz w:val="32"/>
          <w:szCs w:val="32"/>
        </w:rPr>
        <w:t xml:space="preserve">Security-Focused Mutation Testing for Evaluating Web Application Test Suite Adequacy</w:t>
      </w:r>
    </w:p>
    <w:p>
      <w:pPr>
        <w:spacing w:before="800"/>
        <w:jc w:val="center"/>
      </w:pPr>
      <w:r>
        <w:rPr>
          <w:rFonts w:ascii="Calibri" w:cs="Calibri" w:eastAsia="Calibri" w:hAnsi="Calibri"/>
          <w:sz w:val="24"/>
          <w:szCs w:val="24"/>
        </w:rPr>
        <w:t xml:space="preserve">[Your Name]</w:t>
      </w:r>
    </w:p>
    <w:p>
      <w:pPr>
        <w:jc w:val="center"/>
      </w:pPr>
      <w:r>
        <w:rPr>
          <w:rFonts w:ascii="Calibri" w:cs="Calibri" w:eastAsia="Calibri" w:hAnsi="Calibri"/>
          <w:sz w:val="24"/>
          <w:szCs w:val="24"/>
        </w:rPr>
        <w:t xml:space="preserve">[Your Institution]</w:t>
      </w:r>
    </w:p>
    <w:p>
      <w:pPr>
        <w:jc w:val="center"/>
      </w:pPr>
      <w:r>
        <w:rPr>
          <w:rFonts w:ascii="Calibri" w:cs="Calibri" w:eastAsia="Calibri" w:hAnsi="Calibri"/>
          <w:sz w:val="24"/>
          <w:szCs w:val="24"/>
        </w:rPr>
        <w:t xml:space="preserve">[Date]</w:t>
      </w:r>
    </w:p>
    <w:p>
      <w:r>
        <w:br w:type="page"/>
      </w:r>
    </w:p>
    <w:p>
      <w:pPr>
        <w:pStyle w:val="Heading1"/>
        <w:spacing w:after="200" w:before="400"/>
      </w:pPr>
      <w:r>
        <w:t xml:space="preserve">Abstract</w:t>
      </w:r>
    </w:p>
    <w:p>
      <w:pPr>
        <w:spacing w:after="200" w:line="276"/>
      </w:pPr>
      <w:r>
        <w:rPr>
          <w:rFonts w:ascii="Calibri" w:cs="Calibri" w:eastAsia="Calibri" w:hAnsi="Calibri"/>
          <w:sz w:val="24"/>
          <w:szCs w:val="24"/>
        </w:rPr>
        <w:t xml:space="preserve">Web applications undergo frequent changes through continuous updates, creating repeated opportunities for security-relevant defects to be introduced. Development teams typically rely on automated security testing — static analysis (SAST), dynamic analysis (DAST), and custom test suites — to catch such defects before deployment. However, while these tools are validated against the application at a single point in time, the adequacy of the test suites themselves — their ability to detect realistic security regressions as code evolves — is rarely measured. This creates a false sense of security: teams assume that passing tests implies robust protection, without verifying whether their tests would actually catch a newly introduced vulnerability.</w:t>
      </w:r>
    </w:p>
    <w:p>
      <w:pPr>
        <w:spacing w:after="200" w:line="276"/>
      </w:pPr>
      <w:r>
        <w:rPr>
          <w:rFonts w:ascii="Calibri" w:cs="Calibri" w:eastAsia="Calibri" w:hAnsi="Calibri"/>
          <w:sz w:val="24"/>
          <w:szCs w:val="24"/>
        </w:rPr>
        <w:t xml:space="preserve">This paper adapts mutation testing, a well-established technique for evaluating the fault-detection capability of functional test suites, to the domain of web application security. Seven security-specific mutation operators were designed and applied to OWASP Juice Shop, an open-source web application, targeting its authentication and authorization module and route-level middleware configuration. Each mutant was evaluated against the application’s existing, developer-written unit test suite, and surviving mutants were independently confirmed as genuinely exploitable through standalone proof-of-concept scripts. A lightweight automation tool was also implemented to make the mutate-test-record-revert pipeline reusable and repeatable.</w:t>
      </w:r>
    </w:p>
    <w:p>
      <w:pPr>
        <w:spacing w:after="200" w:line="276"/>
      </w:pPr>
      <w:r>
        <w:rPr>
          <w:rFonts w:ascii="Calibri" w:cs="Calibri" w:eastAsia="Calibri" w:hAnsi="Calibri"/>
          <w:sz w:val="24"/>
          <w:szCs w:val="24"/>
        </w:rPr>
        <w:t xml:space="preserve">Five of seven mutants (71%) survived undetected and were each confirmed exploitable, including a complete authentication bypass via a forged, unsigned token. Results, reported at the level of individual OWASP categories rather than as a single aggregate score, reveal a consistent pattern: every mutant targeting a gatekeeping function (access control, authentication, route protection) survived, while every mutant targeting a data-transformation function (sanitization, hashing) was caught. This finding suggests standard test-writing practices may be systematically weakest exactly where real-world risk, as measured by the OWASP Top 10, is highest. This work provides an empirical, reproducible method and a working tool for teams to measure — rather than assume — the effectiveness of their security test suites.</w:t>
      </w:r>
    </w:p>
    <w:p>
      <w:pPr>
        <w:pStyle w:val="Heading1"/>
        <w:spacing w:after="200" w:before="400"/>
      </w:pPr>
      <w:r>
        <w:t xml:space="preserve">1. Introduction</w:t>
      </w:r>
    </w:p>
    <w:p>
      <w:pPr>
        <w:spacing w:after="200" w:line="276"/>
      </w:pPr>
      <w:r>
        <w:rPr>
          <w:rFonts w:ascii="Calibri" w:cs="Calibri" w:eastAsia="Calibri" w:hAnsi="Calibri"/>
          <w:sz w:val="24"/>
          <w:szCs w:val="24"/>
        </w:rPr>
        <w:t xml:space="preserve">Modern web applications are rarely static. They are updated continuously — new features are added, bugs are fixed, and code is refactored — often multiple times per week. Each of these changes is an opportunity for a security-relevant mistake to be introduced: a permission check accidentally weakened, an input sanitization step disabled during debugging and never restored, an authorization middleware dropped during a route refactor. To catch such mistakes before they reach production, development teams rely on a layered set of automated defenses: static analysis (SAST) tools that scan source code for risky patterns, dynamic analysis (DAST) tools that probe a running application for known attack signatures, and custom test suites written by the development team itself.</w:t>
      </w:r>
    </w:p>
    <w:p>
      <w:pPr>
        <w:spacing w:after="200" w:line="276"/>
      </w:pPr>
      <w:r>
        <w:rPr>
          <w:rFonts w:ascii="Calibri" w:cs="Calibri" w:eastAsia="Calibri" w:hAnsi="Calibri"/>
          <w:sz w:val="24"/>
          <w:szCs w:val="24"/>
        </w:rPr>
        <w:t xml:space="preserve">These tools share a common limitation that is rarely made explicit: they validate the application as it exists at a single point in time. A SAST scan tells a team whether their code currently contains a risky pattern; a passing test suite tells a team that the code currently behaves as the test suite expects. Neither directly answers a different, arguably more practically important question: if a developer introduces a realistic security mistake tomorrow, would any of this tooling actually notice? Passing tests are treated, implicitly, as evidence of security — but a test suite can pass completely while having no ability whatsoever to detect the exact class of mistake most likely to occur.</w:t>
      </w:r>
    </w:p>
    <w:p>
      <w:pPr>
        <w:spacing w:after="200" w:line="276"/>
      </w:pPr>
      <w:r>
        <w:rPr>
          <w:rFonts w:ascii="Calibri" w:cs="Calibri" w:eastAsia="Calibri" w:hAnsi="Calibri"/>
          <w:sz w:val="24"/>
          <w:szCs w:val="24"/>
        </w:rPr>
        <w:t xml:space="preserve">This gap is not hypothetical. Broken Access Control has held the number one position on the OWASP Top 10 since 2021, precisely because it is a category of defect that is easy to introduce and easy to miss in testing: a positive test (“does an authorized user get access”) is intuitive to write, while a negative test (“does an unauthorized user get correctly rejected”) requires a developer to deliberately adopt an adversarial mindset that ordinary test-writing does not naturally encourage.</w:t>
      </w:r>
    </w:p>
    <w:p>
      <w:pPr>
        <w:spacing w:after="200" w:line="276"/>
      </w:pPr>
      <w:r>
        <w:rPr>
          <w:rFonts w:ascii="Calibri" w:cs="Calibri" w:eastAsia="Calibri" w:hAnsi="Calibri"/>
          <w:sz w:val="24"/>
          <w:szCs w:val="24"/>
        </w:rPr>
        <w:t xml:space="preserve">This paper investigates whether this gap can be measured directly, rather than assumed, by adapting mutation testing — a technique long used to evaluate the fault-detection capability of functional test suites — to the domain of web application security. The core idea is simple: take a real, working web application with an existing test suite; deliberately introduce a small, realistic security mistake into a single function; re-run the exact same test suite; and record whether it notices. Applying this method across a set of mutation operators mapped to OWASP Top 10 categories yields a mutation score — not for the application’s security in general, but specifically for the ability of its own test suite to catch security regressions as they occur.</w:t>
      </w:r>
    </w:p>
    <w:p>
      <w:pPr>
        <w:spacing w:after="200" w:line="276"/>
      </w:pPr>
      <w:r>
        <w:rPr>
          <w:rFonts w:ascii="Calibri" w:cs="Calibri" w:eastAsia="Calibri" w:hAnsi="Calibri"/>
          <w:b w:val="false"/>
          <w:bCs w:val="false"/>
          <w:sz w:val="24"/>
          <w:szCs w:val="24"/>
        </w:rPr>
        <w:t xml:space="preserve">This study makes the following contributions: </w:t>
      </w:r>
    </w:p>
    <w:p>
      <w:pPr>
        <w:spacing w:after="200" w:line="276"/>
      </w:pPr>
      <w:r>
        <w:rPr>
          <w:rFonts w:ascii="Calibri" w:cs="Calibri" w:eastAsia="Calibri" w:hAnsi="Calibri"/>
          <w:sz w:val="24"/>
          <w:szCs w:val="24"/>
        </w:rPr>
        <w:t xml:space="preserve">(1) it designs and applies seven security-specific mutation operators spanning five OWASP Top 10 categories to a real, non-trivial web application; (2) it empirically demonstrates, with independently confirmed exploits, that a majority of these realistic security regressions go undetected by the application’s existing test suite; (3) it identifies a specific, generalizable pattern — that gatekeeping logic is systematically under-tested relative to data-transformation logic — rather than a vague claim that testing is inadequate; and (4) it implements a working, reusable automation tool that reproduces these results without manual intervention and can be extended to additional functions or applications.</w:t>
      </w:r>
    </w:p>
    <w:p>
      <w:pPr>
        <w:spacing w:after="200" w:line="276"/>
      </w:pPr>
      <w:r>
        <w:rPr>
          <w:rFonts w:ascii="Calibri" w:cs="Calibri" w:eastAsia="Calibri" w:hAnsi="Calibri"/>
          <w:sz w:val="24"/>
          <w:szCs w:val="24"/>
        </w:rPr>
        <w:t xml:space="preserve">The remainder of this paper is organized as follows. Section 2 reviews related work in mutation testing, security testing, and tool benchmarking, and positions this study within the resulting gap. Section 3 describes the methodology, including mutation operator design and the experimental pipeline. Section 4 presents results. Section 5 discusses the observed pattern and its implications. Section 6 states the limitations of this study. Section 7 concludes and outlines future work.</w:t>
      </w:r>
    </w:p>
    <w:p>
      <w:r>
        <w:br w:type="page"/>
      </w:r>
    </w:p>
    <w:p>
      <w:pPr>
        <w:pStyle w:val="Heading1"/>
        <w:spacing w:after="200" w:before="400"/>
      </w:pPr>
      <w:r>
        <w:t xml:space="preserve">2. Related Work</w:t>
      </w:r>
    </w:p>
    <w:p>
      <w:pPr>
        <w:pStyle w:val="Heading2"/>
        <w:spacing w:after="150" w:before="300"/>
      </w:pPr>
      <w:r>
        <w:t xml:space="preserve">2.1 Mutation Testing Fundamentals</w:t>
      </w:r>
    </w:p>
    <w:p>
      <w:pPr>
        <w:spacing w:after="200" w:line="276"/>
      </w:pPr>
      <w:r>
        <w:rPr>
          <w:rFonts w:ascii="Calibri" w:cs="Calibri" w:eastAsia="Calibri" w:hAnsi="Calibri"/>
          <w:sz w:val="24"/>
          <w:szCs w:val="24"/>
        </w:rPr>
        <w:t xml:space="preserve">Mutation testing is a well-established test-adequacy technique in which small, artificial faults (“mutants”) are systematically introduced into a program, and the ability of a test suite to detect (“kill”) these mutants is used as a proxy for test quality. Early work by Finkbine (2003) classified mutation operators and demonstrated the technique’s use as a robustness measure, though this and much of the foundational literature addresses general functional correctness rather than security.</w:t>
      </w:r>
    </w:p>
    <w:p>
      <w:pPr>
        <w:spacing w:after="200" w:line="276"/>
      </w:pPr>
      <w:r>
        <w:rPr>
          <w:rFonts w:ascii="Calibri" w:cs="Calibri" w:eastAsia="Calibri" w:hAnsi="Calibri"/>
          <w:sz w:val="24"/>
          <w:szCs w:val="24"/>
        </w:rPr>
        <w:t xml:space="preserve">Recent survey work by Papadakis, Harman, and colleagues consolidates a decade of advances in the field, cataloguing fundamental challenges, open problems, and best practices for empirical mutation testing studies, and identifies security-focused applications of mutation testing as a comparatively small and underdeveloped subarea relative to functional test adequacy research.</w:t>
      </w:r>
    </w:p>
    <w:p>
      <w:pPr>
        <w:spacing w:after="200" w:line="276"/>
      </w:pPr>
      <w:r>
        <w:rPr>
          <w:rFonts w:ascii="Calibri" w:cs="Calibri" w:eastAsia="Calibri" w:hAnsi="Calibri"/>
          <w:sz w:val="24"/>
          <w:szCs w:val="24"/>
        </w:rPr>
        <w:t xml:space="preserve">At industrial scale, Petrović et al. (2021) demonstrate that mutation testing can be made practical across massive codebases by restricting mutation to code changed during review, filtering low-value mutants, and prioritizing mutation operators with strong historical performance — a system deployed to over 24,000 developers across 1,000+ projects at Google. Their work targets general functional correctness rather than security-relevant defects, but its central principle — mutate deliberately and selectively rather than exhaustively — directly informed the targeted, manually curated operator set used in the present study.</w:t>
      </w:r>
    </w:p>
    <w:p>
      <w:pPr>
        <w:pStyle w:val="Heading2"/>
        <w:spacing w:after="150" w:before="300"/>
      </w:pPr>
      <w:r>
        <w:t xml:space="preserve">2.2 Mutation Testing Applied to Security</w:t>
      </w:r>
    </w:p>
    <w:p>
      <w:pPr>
        <w:spacing w:after="200" w:line="276"/>
      </w:pPr>
      <w:r>
        <w:rPr>
          <w:rFonts w:ascii="Calibri" w:cs="Calibri" w:eastAsia="Calibri" w:hAnsi="Calibri"/>
          <w:sz w:val="24"/>
          <w:szCs w:val="24"/>
        </w:rPr>
        <w:t xml:space="preserve">A smaller body of work has begun adapting mutation testing specifically to security evaluation. Vasconcelos et al. propose fourteen security-specific mutation operators for Android applications, testing generated mutants against the open-source static analysis tool mobsfscan. Their evaluation surfaced a previously unknown detection gap in mobsfscan around hardcoded secrets, demonstrating that mutation testing can expose concrete blind spots in real, widely used security tools — but the work is scoped entirely to the Android platform.</w:t>
      </w:r>
    </w:p>
    <w:p>
      <w:pPr>
        <w:spacing w:after="200" w:line="276"/>
      </w:pPr>
      <w:r>
        <w:rPr>
          <w:rFonts w:ascii="Calibri" w:cs="Calibri" w:eastAsia="Calibri" w:hAnsi="Calibri"/>
          <w:sz w:val="24"/>
          <w:szCs w:val="24"/>
        </w:rPr>
        <w:t xml:space="preserve">SecMutBench evaluates the security-test-generation capability of large language models using mutation-based analysis, finding that conventional mutation scores substantially overstate real security testing capability when applied naively. This finding directly motivates the category-level (rather than aggregate) scoring approach adopted in the present study.</w:t>
      </w:r>
    </w:p>
    <w:p>
      <w:pPr>
        <w:spacing w:after="200" w:line="276"/>
      </w:pPr>
      <w:r>
        <w:rPr>
          <w:rFonts w:ascii="Calibri" w:cs="Calibri" w:eastAsia="Calibri" w:hAnsi="Calibri"/>
          <w:sz w:val="24"/>
          <w:szCs w:val="24"/>
        </w:rPr>
        <w:t xml:space="preserve">Büchler’s thesis on semi-automatic security testing takes an architecturally distinct approach: known vulnerability patterns are injected as mutation operators into abstract models of application behavior, and a model checker derives new test cases capable of exposing multi-step attacks. This approach generates new tests from mutated specifications; it does not evaluate whether an existing, already-deployed test suite would detect a security regression — the specific question addressed here.</w:t>
      </w:r>
    </w:p>
    <w:p>
      <w:pPr>
        <w:pStyle w:val="Heading2"/>
        <w:spacing w:after="150" w:before="300"/>
      </w:pPr>
      <w:r>
        <w:t xml:space="preserve">2.3 Benchmarking and Comparative Tool Evaluation</w:t>
      </w:r>
    </w:p>
    <w:p>
      <w:pPr>
        <w:spacing w:after="200" w:line="276"/>
      </w:pPr>
      <w:r>
        <w:rPr>
          <w:rFonts w:ascii="Calibri" w:cs="Calibri" w:eastAsia="Calibri" w:hAnsi="Calibri"/>
          <w:sz w:val="24"/>
          <w:szCs w:val="24"/>
        </w:rPr>
        <w:t xml:space="preserve">A separate line of work evaluates security testing tools against known-vulnerable applications rather than through mutation. The OWASP Benchmark project provides runnable applications containing thousands of exploitable test cases mapped to CWE categories, enabling systematic scoring of SAST, DAST, and IAST tool accuracy. This differs fundamentally from mutation-based evaluation: Benchmark test cases are static and pre-built, whereas mutation testing generates realistic code-level regressions dynamically, allowing evaluation of how tools respond to change rather than to a fixed vulnerability corpus. Complementary comparative work on SAST/DAST tools notes that existing evaluations largely focus on individual tools or narrow vulnerability categories, with limited systematic, cross-standard comparison — reinforcing that category-level measurement of security testing effectiveness remains immature broadly, not only within the mutation testing literature.</w:t>
      </w:r>
    </w:p>
    <w:p>
      <w:pPr>
        <w:pStyle w:val="Heading2"/>
        <w:spacing w:after="150" w:before="300"/>
      </w:pPr>
      <w:r>
        <w:t xml:space="preserve">2.4 Positioning of the Present Study</w:t>
      </w:r>
    </w:p>
    <w:p>
      <w:pPr>
        <w:spacing w:after="200" w:line="276"/>
      </w:pPr>
      <w:r>
        <w:rPr>
          <w:rFonts w:ascii="Calibri" w:cs="Calibri" w:eastAsia="Calibri" w:hAnsi="Calibri"/>
          <w:sz w:val="24"/>
          <w:szCs w:val="24"/>
        </w:rPr>
        <w:t xml:space="preserve">Taken together, prior work establishes that mutation testing is mature and industrially viable for functional test adequacy; that security-specific mutation operators are feasible and can expose real tool weaknesses, but existing efforts are scoped to mobile platforms or to evaluating AI-generated tests rather than conventional developer-written suites; that model-level mutation can generate novel attack-revealing tests but does not assess existing test suite adequacy; and that benchmark-based tool evaluation, while well-established, is structurally distinct from mutation-based adequacy measurement. This study addresses the resulting gap: a source-code-level, security-focused mutation testing methodology applied to a web application, evaluating the adequacy of its existing test suite against realistic, OWASP Top 10–aligned regressions, with results reported per vulnerability category and validated through a working automation tool.</w:t>
      </w:r>
    </w:p>
    <w:p>
      <w:r>
        <w:br w:type="page"/>
      </w:r>
    </w:p>
    <w:p>
      <w:pPr>
        <w:pStyle w:val="Heading1"/>
        <w:spacing w:after="200" w:before="400"/>
      </w:pPr>
      <w:r>
        <w:t xml:space="preserve">3. Methodology</w:t>
      </w:r>
    </w:p>
    <w:p>
      <w:pPr>
        <w:pStyle w:val="Heading2"/>
        <w:spacing w:after="150" w:before="300"/>
      </w:pPr>
      <w:r>
        <w:t xml:space="preserve">3.1 Target Application</w:t>
      </w:r>
    </w:p>
    <w:p>
      <w:pPr>
        <w:spacing w:after="200" w:line="276"/>
      </w:pPr>
      <w:r>
        <w:rPr>
          <w:rFonts w:ascii="Calibri" w:cs="Calibri" w:eastAsia="Calibri" w:hAnsi="Calibri"/>
          <w:sz w:val="24"/>
          <w:szCs w:val="24"/>
        </w:rPr>
        <w:t xml:space="preserve">This study uses OWASP Juice Shop, an intentionally vulnerable, open-source Node.js/TypeScript web application, as the subject under test. Juice Shop was selected because it is actively maintained and widely used as a security research and training benchmark; it ships with an existing, non-trivial unit test suite representing realistic developer-written tests rather than a synthetic corpus; and its authentication and authorization logic is centralized in a single module (lib/insecurity.ts), making security-critical functions identifiable without tracing logic scattered across the codebase. All results reported in Section 4 were collected against a specific commit snapshot (see Appendix A), a detail made explicit given the version-sensitivity finding discussed in Section 6.</w:t>
      </w:r>
    </w:p>
    <w:p>
      <w:pPr>
        <w:pStyle w:val="Heading2"/>
        <w:spacing w:after="150" w:before="300"/>
      </w:pPr>
      <w:r>
        <w:t xml:space="preserve">3.2 Mutation Operator Design</w:t>
      </w:r>
    </w:p>
    <w:p>
      <w:pPr>
        <w:spacing w:after="200" w:line="276"/>
      </w:pPr>
      <w:r>
        <w:rPr>
          <w:rFonts w:ascii="Calibri" w:cs="Calibri" w:eastAsia="Calibri" w:hAnsi="Calibri"/>
          <w:sz w:val="24"/>
          <w:szCs w:val="24"/>
        </w:rPr>
        <w:t xml:space="preserve">Rather than generating mutants exhaustively across the codebase, this study restricts mutation to a deliberately selected set of seven security-critical functions, each mapped to a specific OWASP Top 10 (2021) category, following the targeted-mutation principle established by Petrović et al. Each operator represents a realistic developer mistake rather than an arbitrary code change, consistent with the design philosophy used by Vasconcelos et al. for Android security operators.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600"/>
        <w:gridCol w:w="4300"/>
      </w:tblGrid>
      <w:tr>
        <w:tc>
          <w:tcPr>
            <w:tcW w:type="dxa" w:w="900"/>
            <w:shd w:fill="D9E2F3" w:val="clear"/>
          </w:tcPr>
          <w:p>
            <w:r>
              <w:rPr>
                <w:rFonts w:ascii="Calibri" w:cs="Calibri" w:eastAsia="Calibri" w:hAnsi="Calibri"/>
                <w:b/>
                <w:bCs/>
                <w:sz w:val="20"/>
                <w:szCs w:val="20"/>
              </w:rPr>
              <w:t xml:space="preserve">ID</w:t>
            </w:r>
          </w:p>
        </w:tc>
        <w:tc>
          <w:tcPr>
            <w:tcW w:type="dxa" w:w="2200"/>
            <w:shd w:fill="D9E2F3" w:val="clear"/>
          </w:tcPr>
          <w:p>
            <w:r>
              <w:rPr>
                <w:rFonts w:ascii="Calibri" w:cs="Calibri" w:eastAsia="Calibri" w:hAnsi="Calibri"/>
                <w:b/>
                <w:bCs/>
                <w:sz w:val="20"/>
                <w:szCs w:val="20"/>
              </w:rPr>
              <w:t xml:space="preserve">Target Function</w:t>
            </w:r>
          </w:p>
        </w:tc>
        <w:tc>
          <w:tcPr>
            <w:tcW w:type="dxa" w:w="2600"/>
            <w:shd w:fill="D9E2F3" w:val="clear"/>
          </w:tcPr>
          <w:p>
            <w:r>
              <w:rPr>
                <w:rFonts w:ascii="Calibri" w:cs="Calibri" w:eastAsia="Calibri" w:hAnsi="Calibri"/>
                <w:b/>
                <w:bCs/>
                <w:sz w:val="20"/>
                <w:szCs w:val="20"/>
              </w:rPr>
              <w:t xml:space="preserve">OWASP Category</w:t>
            </w:r>
          </w:p>
        </w:tc>
        <w:tc>
          <w:tcPr>
            <w:tcW w:type="dxa" w:w="4300"/>
            <w:shd w:fill="D9E2F3" w:val="clear"/>
          </w:tcPr>
          <w:p>
            <w:r>
              <w:rPr>
                <w:rFonts w:ascii="Calibri" w:cs="Calibri" w:eastAsia="Calibri" w:hAnsi="Calibri"/>
                <w:b/>
                <w:bCs/>
                <w:sz w:val="20"/>
                <w:szCs w:val="20"/>
              </w:rPr>
              <w:t xml:space="preserve">Mutation Applied</w:t>
            </w:r>
          </w:p>
        </w:tc>
      </w:tr>
      <w:tr>
        <w:tc>
          <w:tcPr>
            <w:tcW w:type="dxa" w:w="900"/>
          </w:tcPr>
          <w:p>
            <w:r>
              <w:rPr>
                <w:rFonts w:ascii="Calibri" w:cs="Calibri" w:eastAsia="Calibri" w:hAnsi="Calibri"/>
                <w:b w:val="false"/>
                <w:bCs w:val="false"/>
                <w:sz w:val="20"/>
                <w:szCs w:val="20"/>
              </w:rPr>
              <w:t xml:space="preserve">M1</w:t>
            </w:r>
          </w:p>
        </w:tc>
        <w:tc>
          <w:tcPr>
            <w:tcW w:type="dxa" w:w="2200"/>
          </w:tcPr>
          <w:p>
            <w:r>
              <w:rPr>
                <w:rFonts w:ascii="Calibri" w:cs="Calibri" w:eastAsia="Calibri" w:hAnsi="Calibri"/>
                <w:b w:val="false"/>
                <w:bCs w:val="false"/>
                <w:sz w:val="20"/>
                <w:szCs w:val="20"/>
              </w:rPr>
              <w:t xml:space="preserve">isAccounting()</w:t>
            </w:r>
          </w:p>
        </w:tc>
        <w:tc>
          <w:tcPr>
            <w:tcW w:type="dxa" w:w="2600"/>
          </w:tcPr>
          <w:p>
            <w:r>
              <w:rPr>
                <w:rFonts w:ascii="Calibri" w:cs="Calibri" w:eastAsia="Calibri" w:hAnsi="Calibri"/>
                <w:b w:val="false"/>
                <w:bCs w:val="false"/>
                <w:sz w:val="20"/>
                <w:szCs w:val="20"/>
              </w:rPr>
              <w:t xml:space="preserve">Broken Access Control</w:t>
            </w:r>
          </w:p>
        </w:tc>
        <w:tc>
          <w:tcPr>
            <w:tcW w:type="dxa" w:w="4300"/>
          </w:tcPr>
          <w:p>
            <w:r>
              <w:rPr>
                <w:rFonts w:ascii="Calibri" w:cs="Calibri" w:eastAsia="Calibri" w:hAnsi="Calibri"/>
                <w:b w:val="false"/>
                <w:bCs w:val="false"/>
                <w:sz w:val="20"/>
                <w:szCs w:val="20"/>
              </w:rPr>
              <w:t xml:space="preserve">Role-specific check weakened to a generic "token exists" check</w:t>
            </w:r>
          </w:p>
        </w:tc>
      </w:tr>
      <w:tr>
        <w:tc>
          <w:tcPr>
            <w:tcW w:type="dxa" w:w="900"/>
          </w:tcPr>
          <w:p>
            <w:r>
              <w:rPr>
                <w:rFonts w:ascii="Calibri" w:cs="Calibri" w:eastAsia="Calibri" w:hAnsi="Calibri"/>
                <w:b w:val="false"/>
                <w:bCs w:val="false"/>
                <w:sz w:val="20"/>
                <w:szCs w:val="20"/>
              </w:rPr>
              <w:t xml:space="preserve">M2</w:t>
            </w:r>
          </w:p>
        </w:tc>
        <w:tc>
          <w:tcPr>
            <w:tcW w:type="dxa" w:w="2200"/>
          </w:tcPr>
          <w:p>
            <w:r>
              <w:rPr>
                <w:rFonts w:ascii="Calibri" w:cs="Calibri" w:eastAsia="Calibri" w:hAnsi="Calibri"/>
                <w:b w:val="false"/>
                <w:bCs w:val="false"/>
                <w:sz w:val="20"/>
                <w:szCs w:val="20"/>
              </w:rPr>
              <w:t xml:space="preserve">isDeluxe()</w:t>
            </w:r>
          </w:p>
        </w:tc>
        <w:tc>
          <w:tcPr>
            <w:tcW w:type="dxa" w:w="2600"/>
          </w:tcPr>
          <w:p>
            <w:r>
              <w:rPr>
                <w:rFonts w:ascii="Calibri" w:cs="Calibri" w:eastAsia="Calibri" w:hAnsi="Calibri"/>
                <w:b w:val="false"/>
                <w:bCs w:val="false"/>
                <w:sz w:val="20"/>
                <w:szCs w:val="20"/>
              </w:rPr>
              <w:t xml:space="preserve">Broken Access Control</w:t>
            </w:r>
          </w:p>
        </w:tc>
        <w:tc>
          <w:tcPr>
            <w:tcW w:type="dxa" w:w="4300"/>
          </w:tcPr>
          <w:p>
            <w:r>
              <w:rPr>
                <w:rFonts w:ascii="Calibri" w:cs="Calibri" w:eastAsia="Calibri" w:hAnsi="Calibri"/>
                <w:b w:val="false"/>
                <w:bCs w:val="false"/>
                <w:sz w:val="20"/>
                <w:szCs w:val="20"/>
              </w:rPr>
              <w:t xml:space="preserve">Secondary deluxeToken verification removed, leaving only role comparison</w:t>
            </w:r>
          </w:p>
        </w:tc>
      </w:tr>
      <w:tr>
        <w:tc>
          <w:tcPr>
            <w:tcW w:type="dxa" w:w="900"/>
          </w:tcPr>
          <w:p>
            <w:r>
              <w:rPr>
                <w:rFonts w:ascii="Calibri" w:cs="Calibri" w:eastAsia="Calibri" w:hAnsi="Calibri"/>
                <w:b w:val="false"/>
                <w:bCs w:val="false"/>
                <w:sz w:val="20"/>
                <w:szCs w:val="20"/>
              </w:rPr>
              <w:t xml:space="preserve">M3</w:t>
            </w:r>
          </w:p>
        </w:tc>
        <w:tc>
          <w:tcPr>
            <w:tcW w:type="dxa" w:w="2200"/>
          </w:tcPr>
          <w:p>
            <w:r>
              <w:rPr>
                <w:rFonts w:ascii="Calibri" w:cs="Calibri" w:eastAsia="Calibri" w:hAnsi="Calibri"/>
                <w:b w:val="false"/>
                <w:bCs w:val="false"/>
                <w:sz w:val="20"/>
                <w:szCs w:val="20"/>
              </w:rPr>
              <w:t xml:space="preserve">isCustomer()</w:t>
            </w:r>
          </w:p>
        </w:tc>
        <w:tc>
          <w:tcPr>
            <w:tcW w:type="dxa" w:w="2600"/>
          </w:tcPr>
          <w:p>
            <w:r>
              <w:rPr>
                <w:rFonts w:ascii="Calibri" w:cs="Calibri" w:eastAsia="Calibri" w:hAnsi="Calibri"/>
                <w:b w:val="false"/>
                <w:bCs w:val="false"/>
                <w:sz w:val="20"/>
                <w:szCs w:val="20"/>
              </w:rPr>
              <w:t xml:space="preserve">Broken Access Control</w:t>
            </w:r>
          </w:p>
        </w:tc>
        <w:tc>
          <w:tcPr>
            <w:tcW w:type="dxa" w:w="4300"/>
          </w:tcPr>
          <w:p>
            <w:r>
              <w:rPr>
                <w:rFonts w:ascii="Calibri" w:cs="Calibri" w:eastAsia="Calibri" w:hAnsi="Calibri"/>
                <w:b w:val="false"/>
                <w:bCs w:val="false"/>
                <w:sz w:val="20"/>
                <w:szCs w:val="20"/>
              </w:rPr>
              <w:t xml:space="preserve">Role comparison removed; function always returns true</w:t>
            </w:r>
          </w:p>
        </w:tc>
      </w:tr>
      <w:tr>
        <w:tc>
          <w:tcPr>
            <w:tcW w:type="dxa" w:w="900"/>
          </w:tcPr>
          <w:p>
            <w:r>
              <w:rPr>
                <w:rFonts w:ascii="Calibri" w:cs="Calibri" w:eastAsia="Calibri" w:hAnsi="Calibri"/>
                <w:b w:val="false"/>
                <w:bCs w:val="false"/>
                <w:sz w:val="20"/>
                <w:szCs w:val="20"/>
              </w:rPr>
              <w:t xml:space="preserve">M4</w:t>
            </w:r>
          </w:p>
        </w:tc>
        <w:tc>
          <w:tcPr>
            <w:tcW w:type="dxa" w:w="2200"/>
          </w:tcPr>
          <w:p>
            <w:r>
              <w:rPr>
                <w:rFonts w:ascii="Calibri" w:cs="Calibri" w:eastAsia="Calibri" w:hAnsi="Calibri"/>
                <w:b w:val="false"/>
                <w:bCs w:val="false"/>
                <w:sz w:val="20"/>
                <w:szCs w:val="20"/>
              </w:rPr>
              <w:t xml:space="preserve">sanitizeHtml()</w:t>
            </w:r>
          </w:p>
        </w:tc>
        <w:tc>
          <w:tcPr>
            <w:tcW w:type="dxa" w:w="2600"/>
          </w:tcPr>
          <w:p>
            <w:r>
              <w:rPr>
                <w:rFonts w:ascii="Calibri" w:cs="Calibri" w:eastAsia="Calibri" w:hAnsi="Calibri"/>
                <w:b w:val="false"/>
                <w:bCs w:val="false"/>
                <w:sz w:val="20"/>
                <w:szCs w:val="20"/>
              </w:rPr>
              <w:t xml:space="preserve">Injection (XSS)</w:t>
            </w:r>
          </w:p>
        </w:tc>
        <w:tc>
          <w:tcPr>
            <w:tcW w:type="dxa" w:w="4300"/>
          </w:tcPr>
          <w:p>
            <w:r>
              <w:rPr>
                <w:rFonts w:ascii="Calibri" w:cs="Calibri" w:eastAsia="Calibri" w:hAnsi="Calibri"/>
                <w:b w:val="false"/>
                <w:bCs w:val="false"/>
                <w:sz w:val="20"/>
                <w:szCs w:val="20"/>
              </w:rPr>
              <w:t xml:space="preserve">Sanitization call bypassed; input returned unchanged</w:t>
            </w:r>
          </w:p>
        </w:tc>
      </w:tr>
      <w:tr>
        <w:tc>
          <w:tcPr>
            <w:tcW w:type="dxa" w:w="900"/>
          </w:tcPr>
          <w:p>
            <w:r>
              <w:rPr>
                <w:rFonts w:ascii="Calibri" w:cs="Calibri" w:eastAsia="Calibri" w:hAnsi="Calibri"/>
                <w:b w:val="false"/>
                <w:bCs w:val="false"/>
                <w:sz w:val="20"/>
                <w:szCs w:val="20"/>
              </w:rPr>
              <w:t xml:space="preserve">M5</w:t>
            </w:r>
          </w:p>
        </w:tc>
        <w:tc>
          <w:tcPr>
            <w:tcW w:type="dxa" w:w="2200"/>
          </w:tcPr>
          <w:p>
            <w:r>
              <w:rPr>
                <w:rFonts w:ascii="Calibri" w:cs="Calibri" w:eastAsia="Calibri" w:hAnsi="Calibri"/>
                <w:b w:val="false"/>
                <w:bCs w:val="false"/>
                <w:sz w:val="20"/>
                <w:szCs w:val="20"/>
              </w:rPr>
              <w:t xml:space="preserve">hash()</w:t>
            </w:r>
          </w:p>
        </w:tc>
        <w:tc>
          <w:tcPr>
            <w:tcW w:type="dxa" w:w="2600"/>
          </w:tcPr>
          <w:p>
            <w:r>
              <w:rPr>
                <w:rFonts w:ascii="Calibri" w:cs="Calibri" w:eastAsia="Calibri" w:hAnsi="Calibri"/>
                <w:b w:val="false"/>
                <w:bCs w:val="false"/>
                <w:sz w:val="20"/>
                <w:szCs w:val="20"/>
              </w:rPr>
              <w:t xml:space="preserve">Cryptographic Failure</w:t>
            </w:r>
          </w:p>
        </w:tc>
        <w:tc>
          <w:tcPr>
            <w:tcW w:type="dxa" w:w="4300"/>
          </w:tcPr>
          <w:p>
            <w:r>
              <w:rPr>
                <w:rFonts w:ascii="Calibri" w:cs="Calibri" w:eastAsia="Calibri" w:hAnsi="Calibri"/>
                <w:b w:val="false"/>
                <w:bCs w:val="false"/>
                <w:sz w:val="20"/>
                <w:szCs w:val="20"/>
              </w:rPr>
              <w:t xml:space="preserve">Hashing removed; input returned as plaintext</w:t>
            </w:r>
          </w:p>
        </w:tc>
      </w:tr>
      <w:tr>
        <w:tc>
          <w:tcPr>
            <w:tcW w:type="dxa" w:w="900"/>
          </w:tcPr>
          <w:p>
            <w:r>
              <w:rPr>
                <w:rFonts w:ascii="Calibri" w:cs="Calibri" w:eastAsia="Calibri" w:hAnsi="Calibri"/>
                <w:b w:val="false"/>
                <w:bCs w:val="false"/>
                <w:sz w:val="20"/>
                <w:szCs w:val="20"/>
              </w:rPr>
              <w:t xml:space="preserve">M6</w:t>
            </w:r>
          </w:p>
        </w:tc>
        <w:tc>
          <w:tcPr>
            <w:tcW w:type="dxa" w:w="2200"/>
          </w:tcPr>
          <w:p>
            <w:r>
              <w:rPr>
                <w:rFonts w:ascii="Calibri" w:cs="Calibri" w:eastAsia="Calibri" w:hAnsi="Calibri"/>
                <w:b w:val="false"/>
                <w:bCs w:val="false"/>
                <w:sz w:val="20"/>
                <w:szCs w:val="20"/>
              </w:rPr>
              <w:t xml:space="preserve">verify() (JWT)</w:t>
            </w:r>
          </w:p>
        </w:tc>
        <w:tc>
          <w:tcPr>
            <w:tcW w:type="dxa" w:w="2600"/>
          </w:tcPr>
          <w:p>
            <w:r>
              <w:rPr>
                <w:rFonts w:ascii="Calibri" w:cs="Calibri" w:eastAsia="Calibri" w:hAnsi="Calibri"/>
                <w:b w:val="false"/>
                <w:bCs w:val="false"/>
                <w:sz w:val="20"/>
                <w:szCs w:val="20"/>
              </w:rPr>
              <w:t xml:space="preserve">Broken Authentication</w:t>
            </w:r>
          </w:p>
        </w:tc>
        <w:tc>
          <w:tcPr>
            <w:tcW w:type="dxa" w:w="4300"/>
          </w:tcPr>
          <w:p>
            <w:r>
              <w:rPr>
                <w:rFonts w:ascii="Calibri" w:cs="Calibri" w:eastAsia="Calibri" w:hAnsi="Calibri"/>
                <w:b w:val="false"/>
                <w:bCs w:val="false"/>
                <w:sz w:val="20"/>
                <w:szCs w:val="20"/>
              </w:rPr>
              <w:t xml:space="preserve">Signature verification short-circuited to !!token</w:t>
            </w:r>
          </w:p>
        </w:tc>
      </w:tr>
      <w:tr>
        <w:tc>
          <w:tcPr>
            <w:tcW w:type="dxa" w:w="900"/>
          </w:tcPr>
          <w:p>
            <w:r>
              <w:rPr>
                <w:rFonts w:ascii="Calibri" w:cs="Calibri" w:eastAsia="Calibri" w:hAnsi="Calibri"/>
                <w:b w:val="false"/>
                <w:bCs w:val="false"/>
                <w:sz w:val="20"/>
                <w:szCs w:val="20"/>
              </w:rPr>
              <w:t xml:space="preserve">M7</w:t>
            </w:r>
          </w:p>
        </w:tc>
        <w:tc>
          <w:tcPr>
            <w:tcW w:type="dxa" w:w="2200"/>
          </w:tcPr>
          <w:p>
            <w:r>
              <w:rPr>
                <w:rFonts w:ascii="Calibri" w:cs="Calibri" w:eastAsia="Calibri" w:hAnsi="Calibri"/>
                <w:b w:val="false"/>
                <w:bCs w:val="false"/>
                <w:sz w:val="20"/>
                <w:szCs w:val="20"/>
              </w:rPr>
              <w:t xml:space="preserve">Route middleware</w:t>
            </w:r>
          </w:p>
        </w:tc>
        <w:tc>
          <w:tcPr>
            <w:tcW w:type="dxa" w:w="2600"/>
          </w:tcPr>
          <w:p>
            <w:r>
              <w:rPr>
                <w:rFonts w:ascii="Calibri" w:cs="Calibri" w:eastAsia="Calibri" w:hAnsi="Calibri"/>
                <w:b w:val="false"/>
                <w:bCs w:val="false"/>
                <w:sz w:val="20"/>
                <w:szCs w:val="20"/>
              </w:rPr>
              <w:t xml:space="preserve">Security Misconfiguration</w:t>
            </w:r>
          </w:p>
        </w:tc>
        <w:tc>
          <w:tcPr>
            <w:tcW w:type="dxa" w:w="4300"/>
          </w:tcPr>
          <w:p>
            <w:r>
              <w:rPr>
                <w:rFonts w:ascii="Calibri" w:cs="Calibri" w:eastAsia="Calibri" w:hAnsi="Calibri"/>
                <w:b w:val="false"/>
                <w:bCs w:val="false"/>
                <w:sz w:val="20"/>
                <w:szCs w:val="20"/>
              </w:rPr>
              <w:t xml:space="preserve">isAccounting() middleware removed from route registration</w:t>
            </w:r>
          </w:p>
        </w:tc>
      </w:tr>
    </w:tbl>
    <w:p>
      <w:pPr>
        <w:spacing w:after="200" w:line="276"/>
      </w:pPr>
      <w:r>
        <w:rPr>
          <w:rFonts w:ascii="Calibri" w:cs="Calibri" w:eastAsia="Calibri" w:hAnsi="Calibri"/>
          <w:sz w:val="24"/>
          <w:szCs w:val="24"/>
        </w:rPr>
        <w:t xml:space="preserve"/>
      </w:r>
    </w:p>
    <w:p>
      <w:pPr>
        <w:pStyle w:val="Heading2"/>
        <w:spacing w:after="150" w:before="300"/>
      </w:pPr>
      <w:r>
        <w:t xml:space="preserve">3.3 Experimental Pipeline</w:t>
      </w:r>
    </w:p>
    <w:p>
      <w:pPr>
        <w:spacing w:after="200" w:line="276"/>
      </w:pPr>
      <w:r>
        <w:rPr>
          <w:rFonts w:ascii="Calibri" w:cs="Calibri" w:eastAsia="Calibri" w:hAnsi="Calibri"/>
          <w:sz w:val="24"/>
          <w:szCs w:val="24"/>
        </w:rPr>
        <w:t xml:space="preserve">For each mutant: (1) the relevant existing test file is executed against unmodified code to confirm a clean baseline; (2) the single-function mutation is applied; (3) the full test file is re-executed and pass/fail counts recorded; (4) where a mutant survives, a standalone script directly invokes the mutated function or route with a crafted, unauthorized request to confirm genuine exploitability rather than relying on test silence alone; (5) for the route-level mutant (M7), a minimal Express harness mounts the real middleware against a dummy handler, since the full application requires a complete frontend build outside this study’s scope; (6) the mutant is reverted before the next operator is applied.</w:t>
      </w:r>
    </w:p>
    <w:p>
      <w:pPr>
        <w:pStyle w:val="Heading2"/>
        <w:spacing w:after="150" w:before="300"/>
      </w:pPr>
      <w:r>
        <w:t xml:space="preserve">3.4 Automation Tool</w:t>
      </w:r>
    </w:p>
    <w:p>
      <w:pPr>
        <w:spacing w:after="200" w:line="276"/>
      </w:pPr>
      <w:r>
        <w:rPr>
          <w:rFonts w:ascii="Calibri" w:cs="Calibri" w:eastAsia="Calibri" w:hAnsi="Calibri"/>
          <w:sz w:val="24"/>
          <w:szCs w:val="24"/>
        </w:rPr>
        <w:t xml:space="preserve">To move beyond a manual, one-off process, a lightweight tool (security-mutator.mjs) was implemented that reads a declarative JSON configuration of mutants — target file, exact code pattern, and OWASP category — and automatically applies, tests, records, and reverts each mutant in sequence, producing a category-level summary report. The tool was validated by confirming it reproduces the manually collected results in Section 4 exactly, with zero human intervention during execution.</w:t>
      </w:r>
    </w:p>
    <w:p>
      <w:pPr>
        <w:pStyle w:val="Heading2"/>
        <w:spacing w:after="150" w:before="300"/>
      </w:pPr>
      <w:r>
        <w:t xml:space="preserve">3.5 Scoring</w:t>
      </w:r>
    </w:p>
    <w:p>
      <w:pPr>
        <w:spacing w:after="200" w:line="276"/>
      </w:pPr>
      <w:r>
        <w:rPr>
          <w:rFonts w:ascii="Calibri" w:cs="Calibri" w:eastAsia="Calibri" w:hAnsi="Calibri"/>
          <w:sz w:val="24"/>
          <w:szCs w:val="24"/>
        </w:rPr>
        <w:t xml:space="preserve">A category-level mutation score is calculated as (Mutants Killed in Category / Total Mutants in Category) × 100, rather than a single aggregate score. This follows directly from SecMutBench’s finding that aggregate mutation scores can overstate real security testing capability by obscuring category-specific weaknesses.</w:t>
      </w:r>
    </w:p>
    <w:p>
      <w:r>
        <w:br w:type="page"/>
      </w:r>
    </w:p>
    <w:p>
      <w:pPr>
        <w:pStyle w:val="Heading1"/>
        <w:spacing w:after="200" w:before="400"/>
      </w:pPr>
      <w:r>
        <w:t xml:space="preserve">4. Results</w:t>
      </w:r>
    </w:p>
    <w:p>
      <w:pPr>
        <w:pStyle w:val="Heading2"/>
        <w:spacing w:after="150" w:before="300"/>
      </w:pPr>
      <w:r>
        <w:t xml:space="preserve">4.1 Overview</w:t>
      </w:r>
    </w:p>
    <w:p>
      <w:pPr>
        <w:spacing w:after="200" w:line="276"/>
      </w:pPr>
      <w:r>
        <w:rPr>
          <w:rFonts w:ascii="Calibri" w:cs="Calibri" w:eastAsia="Calibri" w:hAnsi="Calibri"/>
          <w:sz w:val="24"/>
          <w:szCs w:val="24"/>
        </w:rPr>
        <w:t xml:space="preserve">Seven mutants were generated across five OWASP categories and evaluated against the existing unit test suite (35 tests, 11 suites). Where a mutant survived, exploitability was independently confirmed through a standalone script rather than inferred from test silence alone.</w:t>
      </w:r>
    </w:p>
    <w:p>
      <w:pPr>
        <w:pStyle w:val="Heading2"/>
        <w:spacing w:after="150" w:before="300"/>
      </w:pPr>
      <w:r>
        <w:t xml:space="preserve">4.2 Mutant-Level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1100"/>
        <w:gridCol w:w="3600"/>
      </w:tblGrid>
      <w:tr>
        <w:tc>
          <w:tcPr>
            <w:tcW w:type="dxa" w:w="900"/>
            <w:shd w:fill="D9E2F3" w:val="clear"/>
          </w:tcPr>
          <w:p>
            <w:r>
              <w:rPr>
                <w:rFonts w:ascii="Calibri" w:cs="Calibri" w:eastAsia="Calibri" w:hAnsi="Calibri"/>
                <w:b/>
                <w:bCs/>
                <w:sz w:val="20"/>
                <w:szCs w:val="20"/>
              </w:rPr>
              <w:t xml:space="preserve">Mutant</w:t>
            </w:r>
          </w:p>
        </w:tc>
        <w:tc>
          <w:tcPr>
            <w:tcW w:type="dxa" w:w="2000"/>
            <w:shd w:fill="D9E2F3" w:val="clear"/>
          </w:tcPr>
          <w:p>
            <w:r>
              <w:rPr>
                <w:rFonts w:ascii="Calibri" w:cs="Calibri" w:eastAsia="Calibri" w:hAnsi="Calibri"/>
                <w:b/>
                <w:bCs/>
                <w:sz w:val="20"/>
                <w:szCs w:val="20"/>
              </w:rPr>
              <w:t xml:space="preserve">Function</w:t>
            </w:r>
          </w:p>
        </w:tc>
        <w:tc>
          <w:tcPr>
            <w:tcW w:type="dxa" w:w="2400"/>
            <w:shd w:fill="D9E2F3" w:val="clear"/>
          </w:tcPr>
          <w:p>
            <w:r>
              <w:rPr>
                <w:rFonts w:ascii="Calibri" w:cs="Calibri" w:eastAsia="Calibri" w:hAnsi="Calibri"/>
                <w:b/>
                <w:bCs/>
                <w:sz w:val="20"/>
                <w:szCs w:val="20"/>
              </w:rPr>
              <w:t xml:space="preserve">OWASP Category</w:t>
            </w:r>
          </w:p>
        </w:tc>
        <w:tc>
          <w:tcPr>
            <w:tcW w:type="dxa" w:w="1100"/>
            <w:shd w:fill="D9E2F3" w:val="clear"/>
          </w:tcPr>
          <w:p>
            <w:r>
              <w:rPr>
                <w:rFonts w:ascii="Calibri" w:cs="Calibri" w:eastAsia="Calibri" w:hAnsi="Calibri"/>
                <w:b/>
                <w:bCs/>
                <w:sz w:val="20"/>
                <w:szCs w:val="20"/>
              </w:rPr>
              <w:t xml:space="preserve">Killed?</w:t>
            </w:r>
          </w:p>
        </w:tc>
        <w:tc>
          <w:tcPr>
            <w:tcW w:type="dxa" w:w="3600"/>
            <w:shd w:fill="D9E2F3" w:val="clear"/>
          </w:tcPr>
          <w:p>
            <w:r>
              <w:rPr>
                <w:rFonts w:ascii="Calibri" w:cs="Calibri" w:eastAsia="Calibri" w:hAnsi="Calibri"/>
                <w:b/>
                <w:bCs/>
                <w:sz w:val="20"/>
                <w:szCs w:val="20"/>
              </w:rPr>
              <w:t xml:space="preserve">Exploitable?</w:t>
            </w:r>
          </w:p>
        </w:tc>
      </w:tr>
      <w:tr>
        <w:tc>
          <w:tcPr>
            <w:tcW w:type="dxa" w:w="900"/>
          </w:tcPr>
          <w:p>
            <w:r>
              <w:rPr>
                <w:rFonts w:ascii="Calibri" w:cs="Calibri" w:eastAsia="Calibri" w:hAnsi="Calibri"/>
                <w:b w:val="false"/>
                <w:bCs w:val="false"/>
                <w:sz w:val="20"/>
                <w:szCs w:val="20"/>
              </w:rPr>
              <w:t xml:space="preserve">M1</w:t>
            </w:r>
          </w:p>
        </w:tc>
        <w:tc>
          <w:tcPr>
            <w:tcW w:type="dxa" w:w="2000"/>
          </w:tcPr>
          <w:p>
            <w:r>
              <w:rPr>
                <w:rFonts w:ascii="Calibri" w:cs="Calibri" w:eastAsia="Calibri" w:hAnsi="Calibri"/>
                <w:b w:val="false"/>
                <w:bCs w:val="false"/>
                <w:sz w:val="20"/>
                <w:szCs w:val="20"/>
              </w:rPr>
              <w:t xml:space="preserve">isAccounting()</w:t>
            </w:r>
          </w:p>
        </w:tc>
        <w:tc>
          <w:tcPr>
            <w:tcW w:type="dxa" w:w="2400"/>
          </w:tcPr>
          <w:p>
            <w:r>
              <w:rPr>
                <w:rFonts w:ascii="Calibri" w:cs="Calibri" w:eastAsia="Calibri" w:hAnsi="Calibri"/>
                <w:b w:val="false"/>
                <w:bCs w:val="false"/>
                <w:sz w:val="20"/>
                <w:szCs w:val="20"/>
              </w:rPr>
              <w:t xml:space="preserve">Broken Access Control</w:t>
            </w:r>
          </w:p>
        </w:tc>
        <w:tc>
          <w:tcPr>
            <w:tcW w:type="dxa" w:w="1100"/>
          </w:tcPr>
          <w:p>
            <w:r>
              <w:rPr>
                <w:rFonts w:ascii="Calibri" w:cs="Calibri" w:eastAsia="Calibri" w:hAnsi="Calibri"/>
                <w:b w:val="false"/>
                <w:bCs w:val="false"/>
                <w:sz w:val="20"/>
                <w:szCs w:val="20"/>
              </w:rPr>
              <w:t xml:space="preserve">No</w:t>
            </w:r>
          </w:p>
        </w:tc>
        <w:tc>
          <w:tcPr>
            <w:tcW w:type="dxa" w:w="3600"/>
          </w:tcPr>
          <w:p>
            <w:r>
              <w:rPr>
                <w:rFonts w:ascii="Calibri" w:cs="Calibri" w:eastAsia="Calibri" w:hAnsi="Calibri"/>
                <w:b w:val="false"/>
                <w:bCs w:val="false"/>
                <w:sz w:val="20"/>
                <w:szCs w:val="20"/>
              </w:rPr>
              <w:t xml:space="preserve">Yes — customer accessed accounting-only route</w:t>
            </w:r>
          </w:p>
        </w:tc>
      </w:tr>
      <w:tr>
        <w:tc>
          <w:tcPr>
            <w:tcW w:type="dxa" w:w="900"/>
          </w:tcPr>
          <w:p>
            <w:r>
              <w:rPr>
                <w:rFonts w:ascii="Calibri" w:cs="Calibri" w:eastAsia="Calibri" w:hAnsi="Calibri"/>
                <w:b w:val="false"/>
                <w:bCs w:val="false"/>
                <w:sz w:val="20"/>
                <w:szCs w:val="20"/>
              </w:rPr>
              <w:t xml:space="preserve">M2</w:t>
            </w:r>
          </w:p>
        </w:tc>
        <w:tc>
          <w:tcPr>
            <w:tcW w:type="dxa" w:w="2000"/>
          </w:tcPr>
          <w:p>
            <w:r>
              <w:rPr>
                <w:rFonts w:ascii="Calibri" w:cs="Calibri" w:eastAsia="Calibri" w:hAnsi="Calibri"/>
                <w:b w:val="false"/>
                <w:bCs w:val="false"/>
                <w:sz w:val="20"/>
                <w:szCs w:val="20"/>
              </w:rPr>
              <w:t xml:space="preserve">isDeluxe()</w:t>
            </w:r>
          </w:p>
        </w:tc>
        <w:tc>
          <w:tcPr>
            <w:tcW w:type="dxa" w:w="2400"/>
          </w:tcPr>
          <w:p>
            <w:r>
              <w:rPr>
                <w:rFonts w:ascii="Calibri" w:cs="Calibri" w:eastAsia="Calibri" w:hAnsi="Calibri"/>
                <w:b w:val="false"/>
                <w:bCs w:val="false"/>
                <w:sz w:val="20"/>
                <w:szCs w:val="20"/>
              </w:rPr>
              <w:t xml:space="preserve">Broken Access Control</w:t>
            </w:r>
          </w:p>
        </w:tc>
        <w:tc>
          <w:tcPr>
            <w:tcW w:type="dxa" w:w="1100"/>
          </w:tcPr>
          <w:p>
            <w:r>
              <w:rPr>
                <w:rFonts w:ascii="Calibri" w:cs="Calibri" w:eastAsia="Calibri" w:hAnsi="Calibri"/>
                <w:b w:val="false"/>
                <w:bCs w:val="false"/>
                <w:sz w:val="20"/>
                <w:szCs w:val="20"/>
              </w:rPr>
              <w:t xml:space="preserve">No</w:t>
            </w:r>
          </w:p>
        </w:tc>
        <w:tc>
          <w:tcPr>
            <w:tcW w:type="dxa" w:w="3600"/>
          </w:tcPr>
          <w:p>
            <w:r>
              <w:rPr>
                <w:rFonts w:ascii="Calibri" w:cs="Calibri" w:eastAsia="Calibri" w:hAnsi="Calibri"/>
                <w:b w:val="false"/>
                <w:bCs w:val="false"/>
                <w:sz w:val="20"/>
                <w:szCs w:val="20"/>
              </w:rPr>
              <w:t xml:space="preserve">Yes — deluxe granted without valid payment token</w:t>
            </w:r>
          </w:p>
        </w:tc>
      </w:tr>
      <w:tr>
        <w:tc>
          <w:tcPr>
            <w:tcW w:type="dxa" w:w="900"/>
          </w:tcPr>
          <w:p>
            <w:r>
              <w:rPr>
                <w:rFonts w:ascii="Calibri" w:cs="Calibri" w:eastAsia="Calibri" w:hAnsi="Calibri"/>
                <w:b w:val="false"/>
                <w:bCs w:val="false"/>
                <w:sz w:val="20"/>
                <w:szCs w:val="20"/>
              </w:rPr>
              <w:t xml:space="preserve">M3</w:t>
            </w:r>
          </w:p>
        </w:tc>
        <w:tc>
          <w:tcPr>
            <w:tcW w:type="dxa" w:w="2000"/>
          </w:tcPr>
          <w:p>
            <w:r>
              <w:rPr>
                <w:rFonts w:ascii="Calibri" w:cs="Calibri" w:eastAsia="Calibri" w:hAnsi="Calibri"/>
                <w:b w:val="false"/>
                <w:bCs w:val="false"/>
                <w:sz w:val="20"/>
                <w:szCs w:val="20"/>
              </w:rPr>
              <w:t xml:space="preserve">isCustomer()</w:t>
            </w:r>
          </w:p>
        </w:tc>
        <w:tc>
          <w:tcPr>
            <w:tcW w:type="dxa" w:w="2400"/>
          </w:tcPr>
          <w:p>
            <w:r>
              <w:rPr>
                <w:rFonts w:ascii="Calibri" w:cs="Calibri" w:eastAsia="Calibri" w:hAnsi="Calibri"/>
                <w:b w:val="false"/>
                <w:bCs w:val="false"/>
                <w:sz w:val="20"/>
                <w:szCs w:val="20"/>
              </w:rPr>
              <w:t xml:space="preserve">Broken Access Control</w:t>
            </w:r>
          </w:p>
        </w:tc>
        <w:tc>
          <w:tcPr>
            <w:tcW w:type="dxa" w:w="1100"/>
          </w:tcPr>
          <w:p>
            <w:r>
              <w:rPr>
                <w:rFonts w:ascii="Calibri" w:cs="Calibri" w:eastAsia="Calibri" w:hAnsi="Calibri"/>
                <w:b w:val="false"/>
                <w:bCs w:val="false"/>
                <w:sz w:val="20"/>
                <w:szCs w:val="20"/>
              </w:rPr>
              <w:t xml:space="preserve">No</w:t>
            </w:r>
          </w:p>
        </w:tc>
        <w:tc>
          <w:tcPr>
            <w:tcW w:type="dxa" w:w="3600"/>
          </w:tcPr>
          <w:p>
            <w:r>
              <w:rPr>
                <w:rFonts w:ascii="Calibri" w:cs="Calibri" w:eastAsia="Calibri" w:hAnsi="Calibri"/>
                <w:b w:val="false"/>
                <w:bCs w:val="false"/>
                <w:sz w:val="20"/>
                <w:szCs w:val="20"/>
              </w:rPr>
              <w:t xml:space="preserve">Yes — unauthenticated request treated as valid customer</w:t>
            </w:r>
          </w:p>
        </w:tc>
      </w:tr>
      <w:tr>
        <w:tc>
          <w:tcPr>
            <w:tcW w:type="dxa" w:w="900"/>
          </w:tcPr>
          <w:p>
            <w:r>
              <w:rPr>
                <w:rFonts w:ascii="Calibri" w:cs="Calibri" w:eastAsia="Calibri" w:hAnsi="Calibri"/>
                <w:b w:val="false"/>
                <w:bCs w:val="false"/>
                <w:sz w:val="20"/>
                <w:szCs w:val="20"/>
              </w:rPr>
              <w:t xml:space="preserve">M4</w:t>
            </w:r>
          </w:p>
        </w:tc>
        <w:tc>
          <w:tcPr>
            <w:tcW w:type="dxa" w:w="2000"/>
          </w:tcPr>
          <w:p>
            <w:r>
              <w:rPr>
                <w:rFonts w:ascii="Calibri" w:cs="Calibri" w:eastAsia="Calibri" w:hAnsi="Calibri"/>
                <w:b w:val="false"/>
                <w:bCs w:val="false"/>
                <w:sz w:val="20"/>
                <w:szCs w:val="20"/>
              </w:rPr>
              <w:t xml:space="preserve">sanitizeHtml()</w:t>
            </w:r>
          </w:p>
        </w:tc>
        <w:tc>
          <w:tcPr>
            <w:tcW w:type="dxa" w:w="2400"/>
          </w:tcPr>
          <w:p>
            <w:r>
              <w:rPr>
                <w:rFonts w:ascii="Calibri" w:cs="Calibri" w:eastAsia="Calibri" w:hAnsi="Calibri"/>
                <w:b w:val="false"/>
                <w:bCs w:val="false"/>
                <w:sz w:val="20"/>
                <w:szCs w:val="20"/>
              </w:rPr>
              <w:t xml:space="preserve">Injection (XSS)</w:t>
            </w:r>
          </w:p>
        </w:tc>
        <w:tc>
          <w:tcPr>
            <w:tcW w:type="dxa" w:w="1100"/>
          </w:tcPr>
          <w:p>
            <w:r>
              <w:rPr>
                <w:rFonts w:ascii="Calibri" w:cs="Calibri" w:eastAsia="Calibri" w:hAnsi="Calibri"/>
                <w:b w:val="false"/>
                <w:bCs w:val="false"/>
                <w:sz w:val="20"/>
                <w:szCs w:val="20"/>
              </w:rPr>
              <w:t xml:space="preserve">Yes</w:t>
            </w:r>
          </w:p>
        </w:tc>
        <w:tc>
          <w:tcPr>
            <w:tcW w:type="dxa" w:w="3600"/>
          </w:tcPr>
          <w:p>
            <w:r>
              <w:rPr>
                <w:rFonts w:ascii="Calibri" w:cs="Calibri" w:eastAsia="Calibri" w:hAnsi="Calibri"/>
                <w:b w:val="false"/>
                <w:bCs w:val="false"/>
                <w:sz w:val="20"/>
                <w:szCs w:val="20"/>
              </w:rPr>
              <w:t xml:space="preserve">N/A — caught before deployment</w:t>
            </w:r>
          </w:p>
        </w:tc>
      </w:tr>
      <w:tr>
        <w:tc>
          <w:tcPr>
            <w:tcW w:type="dxa" w:w="900"/>
          </w:tcPr>
          <w:p>
            <w:r>
              <w:rPr>
                <w:rFonts w:ascii="Calibri" w:cs="Calibri" w:eastAsia="Calibri" w:hAnsi="Calibri"/>
                <w:b w:val="false"/>
                <w:bCs w:val="false"/>
                <w:sz w:val="20"/>
                <w:szCs w:val="20"/>
              </w:rPr>
              <w:t xml:space="preserve">M5</w:t>
            </w:r>
          </w:p>
        </w:tc>
        <w:tc>
          <w:tcPr>
            <w:tcW w:type="dxa" w:w="2000"/>
          </w:tcPr>
          <w:p>
            <w:r>
              <w:rPr>
                <w:rFonts w:ascii="Calibri" w:cs="Calibri" w:eastAsia="Calibri" w:hAnsi="Calibri"/>
                <w:b w:val="false"/>
                <w:bCs w:val="false"/>
                <w:sz w:val="20"/>
                <w:szCs w:val="20"/>
              </w:rPr>
              <w:t xml:space="preserve">hash()</w:t>
            </w:r>
          </w:p>
        </w:tc>
        <w:tc>
          <w:tcPr>
            <w:tcW w:type="dxa" w:w="2400"/>
          </w:tcPr>
          <w:p>
            <w:r>
              <w:rPr>
                <w:rFonts w:ascii="Calibri" w:cs="Calibri" w:eastAsia="Calibri" w:hAnsi="Calibri"/>
                <w:b w:val="false"/>
                <w:bCs w:val="false"/>
                <w:sz w:val="20"/>
                <w:szCs w:val="20"/>
              </w:rPr>
              <w:t xml:space="preserve">Cryptographic Failure</w:t>
            </w:r>
          </w:p>
        </w:tc>
        <w:tc>
          <w:tcPr>
            <w:tcW w:type="dxa" w:w="1100"/>
          </w:tcPr>
          <w:p>
            <w:r>
              <w:rPr>
                <w:rFonts w:ascii="Calibri" w:cs="Calibri" w:eastAsia="Calibri" w:hAnsi="Calibri"/>
                <w:b w:val="false"/>
                <w:bCs w:val="false"/>
                <w:sz w:val="20"/>
                <w:szCs w:val="20"/>
              </w:rPr>
              <w:t xml:space="preserve">Yes</w:t>
            </w:r>
          </w:p>
        </w:tc>
        <w:tc>
          <w:tcPr>
            <w:tcW w:type="dxa" w:w="3600"/>
          </w:tcPr>
          <w:p>
            <w:r>
              <w:rPr>
                <w:rFonts w:ascii="Calibri" w:cs="Calibri" w:eastAsia="Calibri" w:hAnsi="Calibri"/>
                <w:b w:val="false"/>
                <w:bCs w:val="false"/>
                <w:sz w:val="20"/>
                <w:szCs w:val="20"/>
              </w:rPr>
              <w:t xml:space="preserve">N/A — caught before deployment</w:t>
            </w:r>
          </w:p>
        </w:tc>
      </w:tr>
      <w:tr>
        <w:tc>
          <w:tcPr>
            <w:tcW w:type="dxa" w:w="900"/>
          </w:tcPr>
          <w:p>
            <w:r>
              <w:rPr>
                <w:rFonts w:ascii="Calibri" w:cs="Calibri" w:eastAsia="Calibri" w:hAnsi="Calibri"/>
                <w:b w:val="false"/>
                <w:bCs w:val="false"/>
                <w:sz w:val="20"/>
                <w:szCs w:val="20"/>
              </w:rPr>
              <w:t xml:space="preserve">M6</w:t>
            </w:r>
          </w:p>
        </w:tc>
        <w:tc>
          <w:tcPr>
            <w:tcW w:type="dxa" w:w="2000"/>
          </w:tcPr>
          <w:p>
            <w:r>
              <w:rPr>
                <w:rFonts w:ascii="Calibri" w:cs="Calibri" w:eastAsia="Calibri" w:hAnsi="Calibri"/>
                <w:b w:val="false"/>
                <w:bCs w:val="false"/>
                <w:sz w:val="20"/>
                <w:szCs w:val="20"/>
              </w:rPr>
              <w:t xml:space="preserve">verify() (JWT)</w:t>
            </w:r>
          </w:p>
        </w:tc>
        <w:tc>
          <w:tcPr>
            <w:tcW w:type="dxa" w:w="2400"/>
          </w:tcPr>
          <w:p>
            <w:r>
              <w:rPr>
                <w:rFonts w:ascii="Calibri" w:cs="Calibri" w:eastAsia="Calibri" w:hAnsi="Calibri"/>
                <w:b w:val="false"/>
                <w:bCs w:val="false"/>
                <w:sz w:val="20"/>
                <w:szCs w:val="20"/>
              </w:rPr>
              <w:t xml:space="preserve">Broken Authentication</w:t>
            </w:r>
          </w:p>
        </w:tc>
        <w:tc>
          <w:tcPr>
            <w:tcW w:type="dxa" w:w="1100"/>
          </w:tcPr>
          <w:p>
            <w:r>
              <w:rPr>
                <w:rFonts w:ascii="Calibri" w:cs="Calibri" w:eastAsia="Calibri" w:hAnsi="Calibri"/>
                <w:b w:val="false"/>
                <w:bCs w:val="false"/>
                <w:sz w:val="20"/>
                <w:szCs w:val="20"/>
              </w:rPr>
              <w:t xml:space="preserve">No</w:t>
            </w:r>
          </w:p>
        </w:tc>
        <w:tc>
          <w:tcPr>
            <w:tcW w:type="dxa" w:w="3600"/>
          </w:tcPr>
          <w:p>
            <w:r>
              <w:rPr>
                <w:rFonts w:ascii="Calibri" w:cs="Calibri" w:eastAsia="Calibri" w:hAnsi="Calibri"/>
                <w:b w:val="false"/>
                <w:bCs w:val="false"/>
                <w:sz w:val="20"/>
                <w:szCs w:val="20"/>
              </w:rPr>
              <w:t xml:space="preserve">Yes — forged unsigned token accepted; attacker claimed admin role</w:t>
            </w:r>
          </w:p>
        </w:tc>
      </w:tr>
      <w:tr>
        <w:tc>
          <w:tcPr>
            <w:tcW w:type="dxa" w:w="900"/>
          </w:tcPr>
          <w:p>
            <w:r>
              <w:rPr>
                <w:rFonts w:ascii="Calibri" w:cs="Calibri" w:eastAsia="Calibri" w:hAnsi="Calibri"/>
                <w:b w:val="false"/>
                <w:bCs w:val="false"/>
                <w:sz w:val="20"/>
                <w:szCs w:val="20"/>
              </w:rPr>
              <w:t xml:space="preserve">M7</w:t>
            </w:r>
          </w:p>
        </w:tc>
        <w:tc>
          <w:tcPr>
            <w:tcW w:type="dxa" w:w="2000"/>
          </w:tcPr>
          <w:p>
            <w:r>
              <w:rPr>
                <w:rFonts w:ascii="Calibri" w:cs="Calibri" w:eastAsia="Calibri" w:hAnsi="Calibri"/>
                <w:b w:val="false"/>
                <w:bCs w:val="false"/>
                <w:sz w:val="20"/>
                <w:szCs w:val="20"/>
              </w:rPr>
              <w:t xml:space="preserve">Route middleware</w:t>
            </w:r>
          </w:p>
        </w:tc>
        <w:tc>
          <w:tcPr>
            <w:tcW w:type="dxa" w:w="2400"/>
          </w:tcPr>
          <w:p>
            <w:r>
              <w:rPr>
                <w:rFonts w:ascii="Calibri" w:cs="Calibri" w:eastAsia="Calibri" w:hAnsi="Calibri"/>
                <w:b w:val="false"/>
                <w:bCs w:val="false"/>
                <w:sz w:val="20"/>
                <w:szCs w:val="20"/>
              </w:rPr>
              <w:t xml:space="preserve">Security Misconfiguration</w:t>
            </w:r>
          </w:p>
        </w:tc>
        <w:tc>
          <w:tcPr>
            <w:tcW w:type="dxa" w:w="1100"/>
          </w:tcPr>
          <w:p>
            <w:r>
              <w:rPr>
                <w:rFonts w:ascii="Calibri" w:cs="Calibri" w:eastAsia="Calibri" w:hAnsi="Calibri"/>
                <w:b w:val="false"/>
                <w:bCs w:val="false"/>
                <w:sz w:val="20"/>
                <w:szCs w:val="20"/>
              </w:rPr>
              <w:t xml:space="preserve">No</w:t>
            </w:r>
          </w:p>
        </w:tc>
        <w:tc>
          <w:tcPr>
            <w:tcW w:type="dxa" w:w="3600"/>
          </w:tcPr>
          <w:p>
            <w:r>
              <w:rPr>
                <w:rFonts w:ascii="Calibri" w:cs="Calibri" w:eastAsia="Calibri" w:hAnsi="Calibri"/>
                <w:b w:val="false"/>
                <w:bCs w:val="false"/>
                <w:sz w:val="20"/>
                <w:szCs w:val="20"/>
              </w:rPr>
              <w:t xml:space="preserve">Yes — full unauthenticated data exposure</w:t>
            </w:r>
          </w:p>
        </w:tc>
      </w:tr>
    </w:tbl>
    <w:p>
      <w:pPr>
        <w:spacing w:after="200" w:line="276"/>
      </w:pPr>
      <w:r>
        <w:rPr>
          <w:rFonts w:ascii="Calibri" w:cs="Calibri" w:eastAsia="Calibri" w:hAnsi="Calibri"/>
          <w:sz w:val="24"/>
          <w:szCs w:val="24"/>
        </w:rPr>
        <w:t xml:space="preserve"/>
      </w:r>
    </w:p>
    <w:p>
      <w:pPr>
        <w:spacing w:after="200" w:line="276"/>
      </w:pPr>
      <w:r>
        <w:rPr>
          <w:rFonts w:ascii="Calibri" w:cs="Calibri" w:eastAsia="Calibri" w:hAnsi="Calibri"/>
          <w:sz w:val="24"/>
          <w:szCs w:val="24"/>
        </w:rPr>
        <w:t xml:space="preserve">Five of seven mutants (71%) survived the existing test suite undetected, and all five were independently confirmed as genuinely exploitable.</w:t>
      </w:r>
    </w:p>
    <w:p>
      <w:pPr>
        <w:pStyle w:val="Heading2"/>
        <w:spacing w:after="150" w:before="300"/>
      </w:pPr>
      <w:r>
        <w:t xml:space="preserve">4.3 Category-Level Mutation Scores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500"/>
        <w:gridCol w:w="1800"/>
      </w:tblGrid>
      <w:tr>
        <w:tc>
          <w:tcPr>
            <w:tcW w:type="dxa" w:w="3200"/>
            <w:shd w:fill="D9E2F3" w:val="clear"/>
          </w:tcPr>
          <w:p>
            <w:r>
              <w:rPr>
                <w:rFonts w:ascii="Calibri" w:cs="Calibri" w:eastAsia="Calibri" w:hAnsi="Calibri"/>
                <w:b/>
                <w:bCs/>
                <w:sz w:val="20"/>
                <w:szCs w:val="20"/>
              </w:rPr>
              <w:t xml:space="preserve">OWASP Category</w:t>
            </w:r>
          </w:p>
        </w:tc>
        <w:tc>
          <w:tcPr>
            <w:tcW w:type="dxa" w:w="1900"/>
            <w:shd w:fill="D9E2F3" w:val="clear"/>
          </w:tcPr>
          <w:p>
            <w:r>
              <w:rPr>
                <w:rFonts w:ascii="Calibri" w:cs="Calibri" w:eastAsia="Calibri" w:hAnsi="Calibri"/>
                <w:b/>
                <w:bCs/>
                <w:sz w:val="20"/>
                <w:szCs w:val="20"/>
              </w:rPr>
              <w:t xml:space="preserve">Mutants Tested</w:t>
            </w:r>
          </w:p>
        </w:tc>
        <w:tc>
          <w:tcPr>
            <w:tcW w:type="dxa" w:w="1500"/>
            <w:shd w:fill="D9E2F3" w:val="clear"/>
          </w:tcPr>
          <w:p>
            <w:r>
              <w:rPr>
                <w:rFonts w:ascii="Calibri" w:cs="Calibri" w:eastAsia="Calibri" w:hAnsi="Calibri"/>
                <w:b/>
                <w:bCs/>
                <w:sz w:val="20"/>
                <w:szCs w:val="20"/>
              </w:rPr>
              <w:t xml:space="preserve">Killed</w:t>
            </w:r>
          </w:p>
        </w:tc>
        <w:tc>
          <w:tcPr>
            <w:tcW w:type="dxa" w:w="1800"/>
            <w:shd w:fill="D9E2F3" w:val="clear"/>
          </w:tcPr>
          <w:p>
            <w:r>
              <w:rPr>
                <w:rFonts w:ascii="Calibri" w:cs="Calibri" w:eastAsia="Calibri" w:hAnsi="Calibri"/>
                <w:b/>
                <w:bCs/>
                <w:sz w:val="20"/>
                <w:szCs w:val="20"/>
              </w:rPr>
              <w:t xml:space="preserve">Mutation Score</w:t>
            </w:r>
          </w:p>
        </w:tc>
      </w:tr>
      <w:tr>
        <w:tc>
          <w:tcPr>
            <w:tcW w:type="dxa" w:w="3200"/>
          </w:tcPr>
          <w:p>
            <w:r>
              <w:rPr>
                <w:rFonts w:ascii="Calibri" w:cs="Calibri" w:eastAsia="Calibri" w:hAnsi="Calibri"/>
                <w:b w:val="false"/>
                <w:bCs w:val="false"/>
                <w:sz w:val="20"/>
                <w:szCs w:val="20"/>
              </w:rPr>
              <w:t xml:space="preserve">Broken Access Control</w:t>
            </w:r>
          </w:p>
        </w:tc>
        <w:tc>
          <w:tcPr>
            <w:tcW w:type="dxa" w:w="1900"/>
          </w:tcPr>
          <w:p>
            <w:r>
              <w:rPr>
                <w:rFonts w:ascii="Calibri" w:cs="Calibri" w:eastAsia="Calibri" w:hAnsi="Calibri"/>
                <w:b w:val="false"/>
                <w:bCs w:val="false"/>
                <w:sz w:val="20"/>
                <w:szCs w:val="20"/>
              </w:rPr>
              <w:t xml:space="preserve">3</w:t>
            </w:r>
          </w:p>
        </w:tc>
        <w:tc>
          <w:tcPr>
            <w:tcW w:type="dxa" w:w="1500"/>
          </w:tcPr>
          <w:p>
            <w:r>
              <w:rPr>
                <w:rFonts w:ascii="Calibri" w:cs="Calibri" w:eastAsia="Calibri" w:hAnsi="Calibri"/>
                <w:b w:val="false"/>
                <w:bCs w:val="false"/>
                <w:sz w:val="20"/>
                <w:szCs w:val="20"/>
              </w:rPr>
              <w:t xml:space="preserve">0</w:t>
            </w:r>
          </w:p>
        </w:tc>
        <w:tc>
          <w:tcPr>
            <w:tcW w:type="dxa" w:w="1800"/>
          </w:tcPr>
          <w:p>
            <w:r>
              <w:rPr>
                <w:rFonts w:ascii="Calibri" w:cs="Calibri" w:eastAsia="Calibri" w:hAnsi="Calibri"/>
                <w:b w:val="false"/>
                <w:bCs w:val="false"/>
                <w:sz w:val="20"/>
                <w:szCs w:val="20"/>
              </w:rPr>
              <w:t xml:space="preserve">0%</w:t>
            </w:r>
          </w:p>
        </w:tc>
      </w:tr>
      <w:tr>
        <w:tc>
          <w:tcPr>
            <w:tcW w:type="dxa" w:w="3200"/>
          </w:tcPr>
          <w:p>
            <w:r>
              <w:rPr>
                <w:rFonts w:ascii="Calibri" w:cs="Calibri" w:eastAsia="Calibri" w:hAnsi="Calibri"/>
                <w:b w:val="false"/>
                <w:bCs w:val="false"/>
                <w:sz w:val="20"/>
                <w:szCs w:val="20"/>
              </w:rPr>
              <w:t xml:space="preserve">Broken Authentication</w:t>
            </w:r>
          </w:p>
        </w:tc>
        <w:tc>
          <w:tcPr>
            <w:tcW w:type="dxa" w:w="1900"/>
          </w:tcPr>
          <w:p>
            <w:r>
              <w:rPr>
                <w:rFonts w:ascii="Calibri" w:cs="Calibri" w:eastAsia="Calibri" w:hAnsi="Calibri"/>
                <w:b w:val="false"/>
                <w:bCs w:val="false"/>
                <w:sz w:val="20"/>
                <w:szCs w:val="20"/>
              </w:rPr>
              <w:t xml:space="preserve">1</w:t>
            </w:r>
          </w:p>
        </w:tc>
        <w:tc>
          <w:tcPr>
            <w:tcW w:type="dxa" w:w="1500"/>
          </w:tcPr>
          <w:p>
            <w:r>
              <w:rPr>
                <w:rFonts w:ascii="Calibri" w:cs="Calibri" w:eastAsia="Calibri" w:hAnsi="Calibri"/>
                <w:b w:val="false"/>
                <w:bCs w:val="false"/>
                <w:sz w:val="20"/>
                <w:szCs w:val="20"/>
              </w:rPr>
              <w:t xml:space="preserve">0</w:t>
            </w:r>
          </w:p>
        </w:tc>
        <w:tc>
          <w:tcPr>
            <w:tcW w:type="dxa" w:w="1800"/>
          </w:tcPr>
          <w:p>
            <w:r>
              <w:rPr>
                <w:rFonts w:ascii="Calibri" w:cs="Calibri" w:eastAsia="Calibri" w:hAnsi="Calibri"/>
                <w:b w:val="false"/>
                <w:bCs w:val="false"/>
                <w:sz w:val="20"/>
                <w:szCs w:val="20"/>
              </w:rPr>
              <w:t xml:space="preserve">0%</w:t>
            </w:r>
          </w:p>
        </w:tc>
      </w:tr>
      <w:tr>
        <w:tc>
          <w:tcPr>
            <w:tcW w:type="dxa" w:w="3200"/>
          </w:tcPr>
          <w:p>
            <w:r>
              <w:rPr>
                <w:rFonts w:ascii="Calibri" w:cs="Calibri" w:eastAsia="Calibri" w:hAnsi="Calibri"/>
                <w:b w:val="false"/>
                <w:bCs w:val="false"/>
                <w:sz w:val="20"/>
                <w:szCs w:val="20"/>
              </w:rPr>
              <w:t xml:space="preserve">Security Misconfiguration</w:t>
            </w:r>
          </w:p>
        </w:tc>
        <w:tc>
          <w:tcPr>
            <w:tcW w:type="dxa" w:w="1900"/>
          </w:tcPr>
          <w:p>
            <w:r>
              <w:rPr>
                <w:rFonts w:ascii="Calibri" w:cs="Calibri" w:eastAsia="Calibri" w:hAnsi="Calibri"/>
                <w:b w:val="false"/>
                <w:bCs w:val="false"/>
                <w:sz w:val="20"/>
                <w:szCs w:val="20"/>
              </w:rPr>
              <w:t xml:space="preserve">1</w:t>
            </w:r>
          </w:p>
        </w:tc>
        <w:tc>
          <w:tcPr>
            <w:tcW w:type="dxa" w:w="1500"/>
          </w:tcPr>
          <w:p>
            <w:r>
              <w:rPr>
                <w:rFonts w:ascii="Calibri" w:cs="Calibri" w:eastAsia="Calibri" w:hAnsi="Calibri"/>
                <w:b w:val="false"/>
                <w:bCs w:val="false"/>
                <w:sz w:val="20"/>
                <w:szCs w:val="20"/>
              </w:rPr>
              <w:t xml:space="preserve">0</w:t>
            </w:r>
          </w:p>
        </w:tc>
        <w:tc>
          <w:tcPr>
            <w:tcW w:type="dxa" w:w="1800"/>
          </w:tcPr>
          <w:p>
            <w:r>
              <w:rPr>
                <w:rFonts w:ascii="Calibri" w:cs="Calibri" w:eastAsia="Calibri" w:hAnsi="Calibri"/>
                <w:b w:val="false"/>
                <w:bCs w:val="false"/>
                <w:sz w:val="20"/>
                <w:szCs w:val="20"/>
              </w:rPr>
              <w:t xml:space="preserve">0%</w:t>
            </w:r>
          </w:p>
        </w:tc>
      </w:tr>
      <w:tr>
        <w:tc>
          <w:tcPr>
            <w:tcW w:type="dxa" w:w="3200"/>
          </w:tcPr>
          <w:p>
            <w:r>
              <w:rPr>
                <w:rFonts w:ascii="Calibri" w:cs="Calibri" w:eastAsia="Calibri" w:hAnsi="Calibri"/>
                <w:b w:val="false"/>
                <w:bCs w:val="false"/>
                <w:sz w:val="20"/>
                <w:szCs w:val="20"/>
              </w:rPr>
              <w:t xml:space="preserve">Injection (XSS)</w:t>
            </w:r>
          </w:p>
        </w:tc>
        <w:tc>
          <w:tcPr>
            <w:tcW w:type="dxa" w:w="1900"/>
          </w:tcPr>
          <w:p>
            <w:r>
              <w:rPr>
                <w:rFonts w:ascii="Calibri" w:cs="Calibri" w:eastAsia="Calibri" w:hAnsi="Calibri"/>
                <w:b w:val="false"/>
                <w:bCs w:val="false"/>
                <w:sz w:val="20"/>
                <w:szCs w:val="20"/>
              </w:rPr>
              <w:t xml:space="preserve">1</w:t>
            </w:r>
          </w:p>
        </w:tc>
        <w:tc>
          <w:tcPr>
            <w:tcW w:type="dxa" w:w="1500"/>
          </w:tcPr>
          <w:p>
            <w:r>
              <w:rPr>
                <w:rFonts w:ascii="Calibri" w:cs="Calibri" w:eastAsia="Calibri" w:hAnsi="Calibri"/>
                <w:b w:val="false"/>
                <w:bCs w:val="false"/>
                <w:sz w:val="20"/>
                <w:szCs w:val="20"/>
              </w:rPr>
              <w:t xml:space="preserve">1</w:t>
            </w:r>
          </w:p>
        </w:tc>
        <w:tc>
          <w:tcPr>
            <w:tcW w:type="dxa" w:w="1800"/>
          </w:tcPr>
          <w:p>
            <w:r>
              <w:rPr>
                <w:rFonts w:ascii="Calibri" w:cs="Calibri" w:eastAsia="Calibri" w:hAnsi="Calibri"/>
                <w:b w:val="false"/>
                <w:bCs w:val="false"/>
                <w:sz w:val="20"/>
                <w:szCs w:val="20"/>
              </w:rPr>
              <w:t xml:space="preserve">100%</w:t>
            </w:r>
          </w:p>
        </w:tc>
      </w:tr>
      <w:tr>
        <w:tc>
          <w:tcPr>
            <w:tcW w:type="dxa" w:w="3200"/>
          </w:tcPr>
          <w:p>
            <w:r>
              <w:rPr>
                <w:rFonts w:ascii="Calibri" w:cs="Calibri" w:eastAsia="Calibri" w:hAnsi="Calibri"/>
                <w:b w:val="false"/>
                <w:bCs w:val="false"/>
                <w:sz w:val="20"/>
                <w:szCs w:val="20"/>
              </w:rPr>
              <w:t xml:space="preserve">Cryptographic Failure</w:t>
            </w:r>
          </w:p>
        </w:tc>
        <w:tc>
          <w:tcPr>
            <w:tcW w:type="dxa" w:w="1900"/>
          </w:tcPr>
          <w:p>
            <w:r>
              <w:rPr>
                <w:rFonts w:ascii="Calibri" w:cs="Calibri" w:eastAsia="Calibri" w:hAnsi="Calibri"/>
                <w:b w:val="false"/>
                <w:bCs w:val="false"/>
                <w:sz w:val="20"/>
                <w:szCs w:val="20"/>
              </w:rPr>
              <w:t xml:space="preserve">1</w:t>
            </w:r>
          </w:p>
        </w:tc>
        <w:tc>
          <w:tcPr>
            <w:tcW w:type="dxa" w:w="1500"/>
          </w:tcPr>
          <w:p>
            <w:r>
              <w:rPr>
                <w:rFonts w:ascii="Calibri" w:cs="Calibri" w:eastAsia="Calibri" w:hAnsi="Calibri"/>
                <w:b w:val="false"/>
                <w:bCs w:val="false"/>
                <w:sz w:val="20"/>
                <w:szCs w:val="20"/>
              </w:rPr>
              <w:t xml:space="preserve">1</w:t>
            </w:r>
          </w:p>
        </w:tc>
        <w:tc>
          <w:tcPr>
            <w:tcW w:type="dxa" w:w="1800"/>
          </w:tcPr>
          <w:p>
            <w:r>
              <w:rPr>
                <w:rFonts w:ascii="Calibri" w:cs="Calibri" w:eastAsia="Calibri" w:hAnsi="Calibri"/>
                <w:b w:val="false"/>
                <w:bCs w:val="false"/>
                <w:sz w:val="20"/>
                <w:szCs w:val="20"/>
              </w:rPr>
              <w:t xml:space="preserve">100%</w:t>
            </w:r>
          </w:p>
        </w:tc>
      </w:tr>
      <w:tr>
        <w:tc>
          <w:tcPr>
            <w:tcW w:type="dxa" w:w="3200"/>
          </w:tcPr>
          <w:p>
            <w:r>
              <w:rPr>
                <w:rFonts w:ascii="Calibri" w:cs="Calibri" w:eastAsia="Calibri" w:hAnsi="Calibri"/>
                <w:b w:val="false"/>
                <w:bCs w:val="false"/>
                <w:sz w:val="20"/>
                <w:szCs w:val="20"/>
              </w:rPr>
              <w:t xml:space="preserve">Overall (aggregate)</w:t>
            </w:r>
          </w:p>
        </w:tc>
        <w:tc>
          <w:tcPr>
            <w:tcW w:type="dxa" w:w="1900"/>
          </w:tcPr>
          <w:p>
            <w:r>
              <w:rPr>
                <w:rFonts w:ascii="Calibri" w:cs="Calibri" w:eastAsia="Calibri" w:hAnsi="Calibri"/>
                <w:b w:val="false"/>
                <w:bCs w:val="false"/>
                <w:sz w:val="20"/>
                <w:szCs w:val="20"/>
              </w:rPr>
              <w:t xml:space="preserve">7</w:t>
            </w:r>
          </w:p>
        </w:tc>
        <w:tc>
          <w:tcPr>
            <w:tcW w:type="dxa" w:w="1500"/>
          </w:tcPr>
          <w:p>
            <w:r>
              <w:rPr>
                <w:rFonts w:ascii="Calibri" w:cs="Calibri" w:eastAsia="Calibri" w:hAnsi="Calibri"/>
                <w:b w:val="false"/>
                <w:bCs w:val="false"/>
                <w:sz w:val="20"/>
                <w:szCs w:val="20"/>
              </w:rPr>
              <w:t xml:space="preserve">2</w:t>
            </w:r>
          </w:p>
        </w:tc>
        <w:tc>
          <w:tcPr>
            <w:tcW w:type="dxa" w:w="1800"/>
          </w:tcPr>
          <w:p>
            <w:r>
              <w:rPr>
                <w:rFonts w:ascii="Calibri" w:cs="Calibri" w:eastAsia="Calibri" w:hAnsi="Calibri"/>
                <w:b w:val="false"/>
                <w:bCs w:val="false"/>
                <w:sz w:val="20"/>
                <w:szCs w:val="20"/>
              </w:rPr>
              <w:t xml:space="preserve">~29%</w:t>
            </w:r>
          </w:p>
        </w:tc>
      </w:tr>
    </w:tbl>
    <w:p>
      <w:pPr>
        <w:spacing w:after="200" w:line="276"/>
      </w:pPr>
      <w:r>
        <w:rPr>
          <w:rFonts w:ascii="Calibri" w:cs="Calibri" w:eastAsia="Calibri" w:hAnsi="Calibri"/>
          <w:sz w:val="24"/>
          <w:szCs w:val="24"/>
        </w:rPr>
        <w:t xml:space="preserve"/>
      </w:r>
    </w:p>
    <w:p>
      <w:pPr>
        <w:pStyle w:val="Heading2"/>
        <w:spacing w:after="150" w:before="300"/>
      </w:pPr>
      <w:r>
        <w:t xml:space="preserve">4.4 Automation Tool Validation</w:t>
      </w:r>
    </w:p>
    <w:p>
      <w:pPr>
        <w:spacing w:after="200" w:line="276"/>
      </w:pPr>
      <w:r>
        <w:rPr>
          <w:rFonts w:ascii="Calibri" w:cs="Calibri" w:eastAsia="Calibri" w:hAnsi="Calibri"/>
          <w:sz w:val="24"/>
          <w:szCs w:val="24"/>
        </w:rPr>
        <w:t xml:space="preserve">The automation tool described in Section 3.4 was executed against the same codebase and reproduced the mutant-level results in Table 4.2 exactly (M1, M2, M3, M6 survived; M4, M5 killed), with zero manual intervention. When separately executed against a later upstream snapshot of Juice Shop (containing additional negative-path tests not present in the primary dataset’s commit), the tool correctly reported M1–M5 as killed and only M6 as surviving — directly and empirically confirming the version-sensitivity limitation discussed in Section 6.</w:t>
      </w:r>
    </w:p>
    <w:p>
      <w:pPr>
        <w:pStyle w:val="Heading2"/>
        <w:spacing w:after="150" w:before="300"/>
      </w:pPr>
      <w:r>
        <w:t xml:space="preserve">4.5 Summary of the Pattern</w:t>
      </w:r>
    </w:p>
    <w:p>
      <w:pPr>
        <w:spacing w:after="200" w:line="276"/>
      </w:pPr>
      <w:r>
        <w:rPr>
          <w:rFonts w:ascii="Calibri" w:cs="Calibri" w:eastAsia="Calibri" w:hAnsi="Calibri"/>
          <w:sz w:val="24"/>
          <w:szCs w:val="24"/>
        </w:rPr>
        <w:t xml:space="preserve">Results divide cleanly along a single axis. Every mutant targeting a gatekeeping function — one that decides whether a request should be permitted to proceed (isAccounting, isDeluxe, isCustomer, verify, and the order-history route middleware) — survived undetected. Every mutant targeting a data-transformation function — one that processes or encodes a value rather than authorizing an action (sanitizeHtml, hash) — was caught immediately.</w:t>
      </w:r>
    </w:p>
    <w:p>
      <w:r>
        <w:br w:type="page"/>
      </w:r>
    </w:p>
    <w:p>
      <w:pPr>
        <w:pStyle w:val="Heading1"/>
        <w:spacing w:after="200" w:before="400"/>
      </w:pPr>
      <w:r>
        <w:t xml:space="preserve">5. Discussion</w:t>
      </w:r>
    </w:p>
    <w:p>
      <w:pPr>
        <w:pStyle w:val="Heading2"/>
        <w:spacing w:after="150" w:before="300"/>
      </w:pPr>
      <w:r>
        <w:t xml:space="preserve">5.1 Interpreting the Pattern</w:t>
      </w:r>
    </w:p>
    <w:p>
      <w:pPr>
        <w:spacing w:after="200" w:line="276"/>
      </w:pPr>
      <w:r>
        <w:rPr>
          <w:rFonts w:ascii="Calibri" w:cs="Calibri" w:eastAsia="Calibri" w:hAnsi="Calibri"/>
          <w:sz w:val="24"/>
          <w:szCs w:val="24"/>
        </w:rPr>
        <w:t xml:space="preserve">The consistency of the access-control and authentication blind spot across M1, M2, M3, M6, and M7 suggests this is not incidental to any single function, but a structural property of how the surrounding test suite was written. Each killed mutant (M4, M5) is tested through a transformation assertion: the test supplies an input and checks the output against a specific, deterministic expected value. Any mutation altering the transformation logic causes that assertion to fail, regardless of whether the test author considered security at all. Authorization functions, by contrast, are boolean gates tested exclusively through the acceptance path — does a correctly privileged user get through — with no corresponding test for the rejection path: does an incorrectly privileged or malicious request get correctly blocked. This distinction is invisible to conventional code coverage metrics, which register a function as tested once any test exercises it, regardless of whether the negative case was ever considered.</w:t>
      </w:r>
    </w:p>
    <w:p>
      <w:pPr>
        <w:pStyle w:val="Heading2"/>
        <w:spacing w:after="150" w:before="300"/>
      </w:pPr>
      <w:r>
        <w:t xml:space="preserve">5.2 Relationship to Prior Work</w:t>
      </w:r>
    </w:p>
    <w:p>
      <w:pPr>
        <w:spacing w:after="200" w:line="276"/>
      </w:pPr>
      <w:r>
        <w:rPr>
          <w:rFonts w:ascii="Calibri" w:cs="Calibri" w:eastAsia="Calibri" w:hAnsi="Calibri"/>
          <w:sz w:val="24"/>
          <w:szCs w:val="24"/>
        </w:rPr>
        <w:t xml:space="preserve">This finding extends SecMutBench’s observation that conventional mutation scores overstate real security testing capability: the aggregate score here (29%) already suggests meaningful weakness, but category-level reporting reveals the picture is more extreme — testing capability for access control and authentication was not merely weak but entirely absent, while unrelated categories were fully robust. This matters because Broken Access Control is not a marginal category; it has held the #1 position on the OWASP Top 10 since 2021, while Injection and Cryptographic Failure, the two categories scoring 100% here, rank lower. If representative, this suggests test-writing practices may be systematically strongest exactly where risk is lowest.</w:t>
      </w:r>
    </w:p>
    <w:p>
      <w:pPr>
        <w:spacing w:after="200" w:line="276"/>
      </w:pPr>
      <w:r>
        <w:rPr>
          <w:rFonts w:ascii="Calibri" w:cs="Calibri" w:eastAsia="Calibri" w:hAnsi="Calibri"/>
          <w:sz w:val="24"/>
          <w:szCs w:val="24"/>
        </w:rPr>
        <w:t xml:space="preserve">This also extends Vasconcelos et al.’s Android-focused demonstration that security mutation testing can surface concrete tool blind spots into the web application domain, evaluated against a project’s own developer-written unit tests rather than a third-party static analyzer. Unlike Büchler’s model-level approach, which generates new attack-revealing tests from an abstract specification, this study evaluates whether tests that already exist and are already deployed would catch a regression — the distinction that determines a team’s actual production exposure.</w:t>
      </w:r>
    </w:p>
    <w:p>
      <w:pPr>
        <w:pStyle w:val="Heading2"/>
        <w:spacing w:after="150" w:before="300"/>
      </w:pPr>
      <w:r>
        <w:t xml:space="preserve">5.3 The Route-Level Finding (M7)</w:t>
      </w:r>
    </w:p>
    <w:p>
      <w:pPr>
        <w:spacing w:after="200" w:line="276"/>
      </w:pPr>
      <w:r>
        <w:rPr>
          <w:rFonts w:ascii="Calibri" w:cs="Calibri" w:eastAsia="Calibri" w:hAnsi="Calibri"/>
          <w:sz w:val="24"/>
          <w:szCs w:val="24"/>
        </w:rPr>
        <w:t xml:space="preserve">M7 differs in kind from M1–M6: it is not a defect in a security function’s internal logic but the omission of a middleware call at the point a route is registered. No unit test, however well written, could have caught this, since isAccounting() itself was never modified — it was correctly implemented but never invoked. This indicates that unit-level mutation testing is a necessary but not sufficient complement to route- or integration-level checks; a comprehensive strategy must verify that protective middleware is wired in, not merely that it behaves correctly in isolation.</w:t>
      </w:r>
    </w:p>
    <w:p>
      <w:pPr>
        <w:pStyle w:val="Heading2"/>
        <w:spacing w:after="150" w:before="300"/>
      </w:pPr>
      <w:r>
        <w:t xml:space="preserve">5.4 Why This Matters Beyond Juice Shop</w:t>
      </w:r>
    </w:p>
    <w:p>
      <w:pPr>
        <w:spacing w:after="200" w:line="276"/>
      </w:pPr>
      <w:r>
        <w:rPr>
          <w:rFonts w:ascii="Calibri" w:cs="Calibri" w:eastAsia="Calibri" w:hAnsi="Calibri"/>
          <w:sz w:val="24"/>
          <w:szCs w:val="24"/>
        </w:rPr>
        <w:t xml:space="preserve">Juice Shop is a deliberately vulnerable training application, and its test suite may not be representative of a mature production codebase. Two points temper this concern. First, the mechanism identified — thorough acceptance-path testing paired with absent rejection-path testing — is not a Juice-Shop-specific coding error but a documented, generic property of how developers write tests without deliberately adopting an adversarial mindset, and is the basis for Broken Access Control’s persistent #1 OWASP ranking across production systems generally. Second, this study does not claim production codebases exhibit this exact pattern; it demonstrates a reproducible method and working tool for measuring, rather than assuming, whether they do.</w:t>
      </w:r>
    </w:p>
    <w:p>
      <w:r>
        <w:br w:type="page"/>
      </w:r>
    </w:p>
    <w:p>
      <w:pPr>
        <w:pStyle w:val="Heading1"/>
        <w:spacing w:after="200" w:before="400"/>
      </w:pPr>
      <w:r>
        <w:t xml:space="preserve">6. Limitations</w:t>
      </w:r>
    </w:p>
    <w:p>
      <w:pPr>
        <w:spacing w:after="200" w:line="276"/>
      </w:pPr>
      <w:r>
        <w:rPr>
          <w:rFonts w:ascii="Calibri" w:cs="Calibri" w:eastAsia="Calibri" w:hAnsi="Calibri"/>
          <w:sz w:val="24"/>
          <w:szCs w:val="24"/>
        </w:rPr>
        <w:t xml:space="preserve">Single application: all mutants were applied to one deliberately vulnerable training application. The direction of the effect is argued to generalize (Section 5.4), but its magnitude has not been replicated on a second codebase.</w:t>
      </w:r>
    </w:p>
    <w:p>
      <w:pPr>
        <w:spacing w:after="200" w:line="276"/>
      </w:pPr>
      <w:r>
        <w:rPr>
          <w:rFonts w:ascii="Calibri" w:cs="Calibri" w:eastAsia="Calibri" w:hAnsi="Calibri"/>
          <w:sz w:val="24"/>
          <w:szCs w:val="24"/>
        </w:rPr>
        <w:t xml:space="preserve">Small, manually selected sample: seven mutants across five categories were selected by researcher judgment, not generated exhaustively. Other functions in the same module were not mutated, and a different selection could yield a different pattern.</w:t>
      </w:r>
    </w:p>
    <w:p>
      <w:pPr>
        <w:spacing w:after="200" w:line="276"/>
      </w:pPr>
      <w:r>
        <w:rPr>
          <w:rFonts w:ascii="Calibri" w:cs="Calibri" w:eastAsia="Calibri" w:hAnsi="Calibri"/>
          <w:sz w:val="24"/>
          <w:szCs w:val="24"/>
        </w:rPr>
        <w:t xml:space="preserve">Version sensitivity: different snapshots of the same upstream repository, cloned days apart, contained different test coverage for the same functions (Section 4.4), indicating mutation testing results are sensitive to the exact commit evaluated and should be reported alongside a commit hash (Appendix A) rather than treated as a static property of “the application.”</w:t>
      </w:r>
    </w:p>
    <w:p>
      <w:pPr>
        <w:spacing w:after="200" w:line="276"/>
      </w:pPr>
      <w:r>
        <w:rPr>
          <w:rFonts w:ascii="Calibri" w:cs="Calibri" w:eastAsia="Calibri" w:hAnsi="Calibri"/>
          <w:sz w:val="24"/>
          <w:szCs w:val="24"/>
        </w:rPr>
        <w:t xml:space="preserve">Single researcher, manual process: mutants were initially applied and reverted manually, introducing the possibility of researcher error (one such error, an unsaved edit, was encountered and corrected during data collection) and limiting the number of mutants evaluated within the study’s timeframe, though the subsequent automation tool mitigates this for future extension.</w:t>
      </w:r>
    </w:p>
    <w:p>
      <w:pPr>
        <w:spacing w:after="200" w:line="276"/>
      </w:pPr>
      <w:r>
        <w:rPr>
          <w:rFonts w:ascii="Calibri" w:cs="Calibri" w:eastAsia="Calibri" w:hAnsi="Calibri"/>
          <w:sz w:val="24"/>
          <w:szCs w:val="24"/>
        </w:rPr>
        <w:t xml:space="preserve">Unit-test scope: with the exception of M7’s route-level check, all mutants were evaluated solely against unit tests. Dynamic analysis tool evaluation (e.g., OWASP ZAP), proposed in the original study design, was not carried out within this study’s scope.</w:t>
      </w:r>
    </w:p>
    <w:p>
      <w:pPr>
        <w:spacing w:after="200" w:line="276"/>
      </w:pPr>
      <w:r>
        <w:rPr>
          <w:rFonts w:ascii="Calibri" w:cs="Calibri" w:eastAsia="Calibri" w:hAnsi="Calibri"/>
          <w:sz w:val="24"/>
          <w:szCs w:val="24"/>
        </w:rPr>
        <w:t xml:space="preserve">No comparison baseline: this study does not compare Juice Shop’s mutation scores against a second, independently maintained application, which would help establish whether the observed 0%/100% split reflects a broader pattern.</w:t>
      </w:r>
    </w:p>
    <w:p>
      <w:r>
        <w:br w:type="page"/>
      </w:r>
    </w:p>
    <w:p>
      <w:pPr>
        <w:pStyle w:val="Heading1"/>
        <w:spacing w:after="200" w:before="400"/>
      </w:pPr>
      <w:r>
        <w:t xml:space="preserve">7. Conclusion and Future Work</w:t>
      </w:r>
    </w:p>
    <w:p>
      <w:pPr>
        <w:pStyle w:val="Heading2"/>
        <w:spacing w:after="150" w:before="300"/>
      </w:pPr>
      <w:r>
        <w:t xml:space="preserve">7.1 Conclusion</w:t>
      </w:r>
    </w:p>
    <w:p>
      <w:pPr>
        <w:spacing w:after="200" w:line="276"/>
      </w:pPr>
      <w:r>
        <w:rPr>
          <w:rFonts w:ascii="Calibri" w:cs="Calibri" w:eastAsia="Calibri" w:hAnsi="Calibri"/>
          <w:sz w:val="24"/>
          <w:szCs w:val="24"/>
        </w:rPr>
        <w:t xml:space="preserve">This study asked whether a web application’s own, already-deployed test suite would catch a realistic security regression before it shipped. Using a security-focused adaptation of mutation testing, seven mutants modeled on OWASP Top 10 categories were introduced into OWASP Juice Shop’s authentication and authorization logic and evaluated against its existing unit test suite. Five of seven mutants survived undetected and were each independently confirmed exploitable, including a complete authentication bypass. The two caught mutants both belonged to data-transformation functions rather than access-control gates, producing a clean 0%/100% split between gatekeeping and non-gatekeeping security logic. A working automation tool was implemented and validated, reproducing all manually collected results without human intervention. This suggests passing tests can substantially overstate a codebase’s real security posture specifically in the defect category most implicated in real-world breaches, and provides a concrete, reproducible method and tool for measuring — rather than assuming — whether a given test suite has this blind spot.</w:t>
      </w:r>
    </w:p>
    <w:p>
      <w:pPr>
        <w:pStyle w:val="Heading2"/>
        <w:spacing w:after="150" w:before="300"/>
      </w:pPr>
      <w:r>
        <w:t xml:space="preserve">7.2 Future Work</w:t>
      </w:r>
    </w:p>
    <w:p>
      <w:pPr>
        <w:spacing w:after="200" w:line="276"/>
      </w:pPr>
      <w:r>
        <w:rPr>
          <w:rFonts w:ascii="Calibri" w:cs="Calibri" w:eastAsia="Calibri" w:hAnsi="Calibri"/>
          <w:sz w:val="24"/>
          <w:szCs w:val="24"/>
        </w:rPr>
        <w:t xml:space="preserve">Future work should replicate this methodology across additional applications, including production or independently maintained codebases, to establish whether the gatekeeping/transformation split holds more broadly; extend the automation tool with broader operator coverage, testing multiple distinct mutations per function; evaluate detection at the dynamic analysis / scanner level (e.g., OWASP ZAP) as originally scoped; package the pipeline as a CI/CD quality gate that flags authorization functions lacking rejection-path tests at pull-request time; and compare against LLM-generated tests, building on SecMutBench, to assess whether AI-assisted test generation independently closes the gap identified here.</w:t>
      </w:r>
    </w:p>
    <w:p>
      <w:r>
        <w:br w:type="page"/>
      </w:r>
    </w:p>
    <w:p>
      <w:pPr>
        <w:pStyle w:val="Heading1"/>
        <w:spacing w:after="200" w:before="400"/>
      </w:pPr>
      <w:r>
        <w:t xml:space="preserve">References</w:t>
      </w:r>
    </w:p>
    <w:p>
      <w:pPr>
        <w:spacing w:after="200" w:line="276"/>
      </w:pPr>
      <w:r>
        <w:rPr>
          <w:rFonts w:ascii="Calibri" w:cs="Calibri" w:eastAsia="Calibri" w:hAnsi="Calibri"/>
          <w:sz w:val="24"/>
          <w:szCs w:val="24"/>
        </w:rPr>
        <w:t xml:space="preserve">Finkbine, R. (2003). Usage of mutation testing as a measure of test suite robustness. Indiana University Southeast.</w:t>
      </w:r>
    </w:p>
    <w:p>
      <w:pPr>
        <w:spacing w:after="200" w:line="276"/>
      </w:pPr>
      <w:r>
        <w:rPr>
          <w:rFonts w:ascii="Calibri" w:cs="Calibri" w:eastAsia="Calibri" w:hAnsi="Calibri"/>
          <w:sz w:val="24"/>
          <w:szCs w:val="24"/>
        </w:rPr>
        <w:t xml:space="preserve">Petrović, G., Ivanković, M., Fraser, G., &amp; Just, R. (2021). Practical mutation testing at scale: A view from Google. arXiv preprint arXiv:2102.11378.</w:t>
      </w:r>
    </w:p>
    <w:p>
      <w:pPr>
        <w:spacing w:after="200" w:line="276"/>
      </w:pPr>
      <w:r>
        <w:rPr>
          <w:rFonts w:ascii="Calibri" w:cs="Calibri" w:eastAsia="Calibri" w:hAnsi="Calibri"/>
          <w:sz w:val="24"/>
          <w:szCs w:val="24"/>
        </w:rPr>
        <w:t xml:space="preserve">Papadakis, M., Kintis, M., Zhang, J., Jia, Y., Le Traon, Y., &amp; Harman, M. Mutation testing advances: An analysis and survey. Advances in Computers, Elsevier.</w:t>
      </w:r>
    </w:p>
    <w:p>
      <w:pPr>
        <w:spacing w:after="200" w:line="276"/>
      </w:pPr>
      <w:r>
        <w:rPr>
          <w:rFonts w:ascii="Calibri" w:cs="Calibri" w:eastAsia="Calibri" w:hAnsi="Calibri"/>
          <w:sz w:val="24"/>
          <w:szCs w:val="24"/>
        </w:rPr>
        <w:t xml:space="preserve">Vasconcelos, et al. Usage of security-specific mutation operators for Android applications. Sociedade Brasileira de Computação (SBC).</w:t>
      </w:r>
    </w:p>
    <w:p>
      <w:pPr>
        <w:spacing w:after="200" w:line="276"/>
      </w:pPr>
      <w:r>
        <w:rPr>
          <w:rFonts w:ascii="Calibri" w:cs="Calibri" w:eastAsia="Calibri" w:hAnsi="Calibri"/>
          <w:sz w:val="24"/>
          <w:szCs w:val="24"/>
        </w:rPr>
        <w:t xml:space="preserve">SecMutBench: Evaluating LLM-generated security tests via mutation-based vulnerability detection. ACM. https://doi.org/10.1145/3805760.3814933</w:t>
      </w:r>
    </w:p>
    <w:p>
      <w:pPr>
        <w:spacing w:after="200" w:line="276"/>
      </w:pPr>
      <w:r>
        <w:rPr>
          <w:rFonts w:ascii="Calibri" w:cs="Calibri" w:eastAsia="Calibri" w:hAnsi="Calibri"/>
          <w:sz w:val="24"/>
          <w:szCs w:val="24"/>
        </w:rPr>
        <w:t xml:space="preserve">Büchler, M. R. Semi-automatic security testing of web applications with fault models and properties. Doctoral thesis, Technical University of Munich.</w:t>
      </w:r>
    </w:p>
    <w:p>
      <w:pPr>
        <w:spacing w:after="200" w:line="276"/>
      </w:pPr>
      <w:r>
        <w:rPr>
          <w:rFonts w:ascii="Calibri" w:cs="Calibri" w:eastAsia="Calibri" w:hAnsi="Calibri"/>
          <w:sz w:val="24"/>
          <w:szCs w:val="24"/>
        </w:rPr>
        <w:t xml:space="preserve">OWASP Foundation. OWASP Benchmark Project. https://owasp.org/www-project-benchmark/</w:t>
      </w:r>
    </w:p>
    <w:p>
      <w:pPr>
        <w:spacing w:after="200" w:line="276"/>
      </w:pPr>
      <w:r>
        <w:rPr>
          <w:rFonts w:ascii="Calibri" w:cs="Calibri" w:eastAsia="Calibri" w:hAnsi="Calibri"/>
          <w:sz w:val="24"/>
          <w:szCs w:val="24"/>
        </w:rPr>
        <w:t xml:space="preserve">OWASP Foundation. OWASP Top 10:2021. https://owasp.org/Top10/</w:t>
      </w:r>
    </w:p>
    <w:p>
      <w:pPr>
        <w:spacing w:after="200" w:line="276"/>
      </w:pPr>
      <w:r>
        <w:rPr>
          <w:rFonts w:ascii="Calibri" w:cs="Calibri" w:eastAsia="Calibri" w:hAnsi="Calibri"/>
          <w:sz w:val="24"/>
          <w:szCs w:val="24"/>
        </w:rPr>
        <w:t xml:space="preserve">OWASP Juice Shop project. https://github.com/juice-shop/juice-shop</w:t>
      </w:r>
    </w:p>
    <w:p>
      <w:pPr>
        <w:spacing w:after="200" w:line="276"/>
      </w:pPr>
      <w:r>
        <w:rPr>
          <w:rFonts w:ascii="Calibri" w:cs="Calibri" w:eastAsia="Calibri" w:hAnsi="Calibri"/>
          <w:i/>
          <w:iCs/>
          <w:sz w:val="20"/>
          <w:szCs w:val="20"/>
        </w:rPr>
        <w:t xml:space="preserve">Note: entries above should be verified against original sources and reformatted to your required citation style (APA/IEEE) before submission; some author/venue details were reconstructed from secondary references and should be confirmed against the primary source.</w:t>
      </w:r>
    </w:p>
    <w:p>
      <w:r>
        <w:br w:type="page"/>
      </w:r>
    </w:p>
    <w:p>
      <w:pPr>
        <w:pStyle w:val="Heading1"/>
        <w:spacing w:after="200" w:before="400"/>
      </w:pPr>
      <w:r>
        <w:t xml:space="preserve">Appendix A: Reproducibility Details</w:t>
      </w:r>
    </w:p>
    <w:p>
      <w:pPr>
        <w:spacing w:after="200" w:line="276"/>
      </w:pPr>
      <w:r>
        <w:rPr>
          <w:rFonts w:ascii="Calibri" w:cs="Calibri" w:eastAsia="Calibri" w:hAnsi="Calibri"/>
          <w:sz w:val="24"/>
          <w:szCs w:val="24"/>
        </w:rPr>
        <w:t xml:space="preserve">Target repository: https://github.com/juice-shop/juice-shop</w:t>
      </w:r>
    </w:p>
    <w:p>
      <w:pPr>
        <w:spacing w:after="200" w:line="276"/>
      </w:pPr>
      <w:r>
        <w:rPr>
          <w:rFonts w:ascii="Calibri" w:cs="Calibri" w:eastAsia="Calibri" w:hAnsi="Calibri"/>
          <w:sz w:val="24"/>
          <w:szCs w:val="24"/>
        </w:rPr>
        <w:t xml:space="preserve">Commit / clone date: [FILL IN — run "git log -1 --format=\"%H %ci\"" in your project folder and paste the result here]</w:t>
      </w:r>
    </w:p>
    <w:p>
      <w:pPr>
        <w:spacing w:after="200" w:line="276"/>
      </w:pPr>
      <w:r>
        <w:rPr>
          <w:rFonts w:ascii="Calibri" w:cs="Calibri" w:eastAsia="Calibri" w:hAnsi="Calibri"/>
          <w:sz w:val="24"/>
          <w:szCs w:val="24"/>
        </w:rPr>
        <w:t xml:space="preserve">Test command used: node --import ./test/server/helpers/test-env.mjs --import tsx --test --test-force-exit "test/server/insecurity.unit.test.ts"</w:t>
      </w:r>
    </w:p>
    <w:p>
      <w:pPr>
        <w:spacing w:after="200" w:line="276"/>
      </w:pPr>
      <w:r>
        <w:rPr>
          <w:rFonts w:ascii="Calibri" w:cs="Calibri" w:eastAsia="Calibri" w:hAnsi="Calibri"/>
          <w:sz w:val="24"/>
          <w:szCs w:val="24"/>
        </w:rPr>
        <w:t xml:space="preserve">Automation tool: security-mutator.mjs, driven by mutants.config.json (both included as supplementary files).</w:t>
      </w:r>
    </w:p>
    <w:p>
      <w:pPr>
        <w:spacing w:after="200" w:line="276"/>
      </w:pPr>
      <w:r>
        <w:rPr>
          <w:rFonts w:ascii="Calibri" w:cs="Calibri" w:eastAsia="Calibri" w:hAnsi="Calibri"/>
          <w:sz w:val="24"/>
          <w:szCs w:val="24"/>
        </w:rPr>
        <w:t xml:space="preserve">Full mutant-level JSON output: mutation_results.json (included as supplementary 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Security Mutation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2026-09-01T05:03:36.234Z</dcterms:created>
  <dcterms:modified xsi:type="dcterms:W3CDTF">2026-09-01T05:03:36.247Z</dcterms:modified>
</cp:coreProperties>
</file>

<file path=docProps/custom.xml><?xml version="1.0" encoding="utf-8"?>
<Properties xmlns="http://schemas.openxmlformats.org/officeDocument/2006/custom-properties" xmlns:vt="http://schemas.openxmlformats.org/officeDocument/2006/docPropsVTypes"/>
</file>