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5" w:name="衛星數位應用創新大賽-創意構想書"/>
    <w:p>
      <w:pPr>
        <w:pStyle w:val="Heading1"/>
      </w:pPr>
      <w:r>
        <w:t xml:space="preserve">2026 衛星數位應用創新大賽　創意構想書</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2800"/>
        <w:gridCol w:w="6800"/>
      </w:tblGrid>
      <w:tr>
        <w:trPr>
          <w:tblHeader w:val="true"/>
        </w:trPr>
        <w:tc>
          <w:tcPr>
            <w:tcW w:w="2800" w:type="dxa"/>
          </w:tcPr>
          <w:p>
            <w:pPr>
              <w:pStyle w:val="Compact"/>
              <w:spacing w:after="20" w:line="276" w:lineRule="auto"/>
              <w:jc w:val="left"/>
            </w:pPr>
            <w:r>
              <w:rPr>
                <w:sz w:val="26"/>
              </w:rPr>
              <w:t xml:space="preserve">選題名稱</w:t>
            </w:r>
          </w:p>
        </w:tc>
        <w:tc>
          <w:tcPr>
            <w:tcW w:w="6800" w:type="dxa"/>
          </w:tcPr>
          <w:p>
            <w:pPr>
              <w:pStyle w:val="Compact"/>
              <w:spacing w:after="20" w:line="276" w:lineRule="auto"/>
              <w:jc w:val="left"/>
            </w:pPr>
            <w:r>
              <w:rPr>
                <w:sz w:val="26"/>
              </w:rPr>
              <w:t xml:space="preserve">題目六：偏鄉農林牧智慧連線與精準作業定位</w:t>
            </w:r>
          </w:p>
        </w:tc>
      </w:tr>
      <w:tr>
        <w:tc>
          <w:tcPr>
            <w:tcW w:w="2800" w:type="dxa"/>
          </w:tcPr>
          <w:p>
            <w:pPr>
              <w:pStyle w:val="Compact"/>
              <w:spacing w:after="20" w:line="276" w:lineRule="auto"/>
              <w:jc w:val="left"/>
            </w:pPr>
            <w:r>
              <w:rPr>
                <w:sz w:val="26"/>
              </w:rPr>
              <w:t xml:space="preserve">參賽隊伍名稱</w:t>
            </w:r>
          </w:p>
        </w:tc>
        <w:tc>
          <w:tcPr>
            <w:tcW w:w="6800" w:type="dxa"/>
          </w:tcPr>
          <w:p>
            <w:pPr>
              <w:pStyle w:val="Compact"/>
              <w:spacing w:after="20" w:line="276" w:lineRule="auto"/>
              <w:jc w:val="left"/>
            </w:pPr>
            <w:r>
              <w:rPr>
                <w:sz w:val="26"/>
              </w:rPr>
              <w:t xml:space="preserve">天相星</w:t>
            </w:r>
          </w:p>
        </w:tc>
      </w:tr>
      <w:tr>
        <w:tc>
          <w:tcPr>
            <w:tcW w:w="2800" w:type="dxa"/>
          </w:tcPr>
          <w:p>
            <w:pPr>
              <w:pStyle w:val="Compact"/>
              <w:spacing w:after="20" w:line="276" w:lineRule="auto"/>
              <w:jc w:val="left"/>
            </w:pPr>
            <w:r>
              <w:rPr>
                <w:sz w:val="26"/>
              </w:rPr>
              <w:t xml:space="preserve">作品名稱</w:t>
            </w:r>
          </w:p>
        </w:tc>
        <w:tc>
          <w:tcPr>
            <w:tcW w:w="6800" w:type="dxa"/>
          </w:tcPr>
          <w:p>
            <w:pPr>
              <w:pStyle w:val="Compact"/>
              <w:spacing w:after="20" w:line="276" w:lineRule="auto"/>
              <w:jc w:val="left"/>
            </w:pPr>
            <w:r>
              <w:rPr>
                <w:sz w:val="26"/>
              </w:rPr>
              <w:t xml:space="preserve">天相星 SkyAide：公所災後勘查衛星快篩平台</w:t>
            </w:r>
          </w:p>
        </w:tc>
      </w:tr>
    </w:tbl>
    <w:p>
      <w:r>
        <w:br w:type="page"/>
      </w:r>
    </w:p>
    <w:bookmarkStart w:id="23" w:name="一作品摘要"/>
    <w:p>
      <w:pPr>
        <w:pStyle w:val="Heading2"/>
      </w:pPr>
      <w:r>
        <w:t xml:space="preserve">一、作品摘要</w:t>
      </w:r>
    </w:p>
    <w:p>
      <w:pPr>
        <w:pStyle w:val="FirstParagraph"/>
        <w:jc w:val="both"/>
      </w:pPr>
      <w:r>
        <w:t xml:space="preserve">我國農業天災救助的瓶頸在於公所勘查：公所須於公告後 30 日內逐筆確認作物與損失率，然而農業課平均僅 4 人；須現勘的案件平均 58 天才撥款，具客觀證明而免勘者僅需 24–30 天。本作品「天相星 SkyAide」以衛星證據替公所勘查分流，於災後將案件分為受損已確認、未見受損與需到場確認三級，並產出可溯源的存證報告與預填申請表。</w:t>
      </w:r>
    </w:p>
    <w:p>
      <w:pPr>
        <w:pStyle w:val="BodyText"/>
        <w:jc w:val="both"/>
      </w:pPr>
      <w:r>
        <w:rPr>
          <w:bCs/>
          <w:b/>
        </w:rPr>
        <w:t xml:space="preserve">衛星必要性</w:t>
      </w:r>
      <w:r>
        <w:t xml:space="preserve">：公所無法於災前替每塊田留下紀錄，唯有衛星能持續保存全轄區的災前狀態；雷達不受颱風後雲層影響，人員無法抵達的田區亦有依據。</w:t>
      </w:r>
    </w:p>
    <w:p>
      <w:pPr>
        <w:pStyle w:val="BodyText"/>
        <w:jc w:val="both"/>
      </w:pPr>
      <w:r>
        <w:rPr>
          <w:bCs/>
          <w:b/>
        </w:rPr>
        <w:t xml:space="preserve">概念創新性</w:t>
      </w:r>
      <w:r>
        <w:t xml:space="preserve">：將衛星比對嵌入法定流程，產出分級清單、預填申請與存證報告；以實際耕作坵塊為單位、輸出損失區間，並延伸至魚塭在養證明。</w:t>
      </w:r>
    </w:p>
    <w:p>
      <w:pPr>
        <w:pStyle w:val="BodyText"/>
        <w:jc w:val="both"/>
      </w:pPr>
      <w:r>
        <w:rPr>
          <w:bCs/>
          <w:b/>
        </w:rPr>
        <w:t xml:space="preserve">技術可行性</w:t>
      </w:r>
      <w:r>
        <w:t xml:space="preserve">：判讀方法皆有文獻基礎，資料取得與送件層級已逐項對照現行法令，兩端介面已完成原型，並已以丹娜絲颱風真實影像完成災前災後比對、以模擬工況跑通分級流程。估算顯示，在不裁減人力的前提下，一場大型災害的實地現勘可減少約 12.6 萬筆（約 4 成），約 6.7 萬件（一般現勘案件的一半）可提早約 28 天撥款。</w:t>
      </w:r>
    </w:p>
    <w:p>
      <w:pPr>
        <w:pStyle w:val="BodyText"/>
        <w:keepNext/>
        <w:jc w:val="center"/>
      </w:pPr>
      <w:r>
        <w:drawing>
          <wp:inline>
            <wp:extent cx="5334000" cy="5071601"/>
            <wp:effectExtent b="0" l="0" r="0" t="0"/>
            <wp:docPr descr="" title="" id="21" name="Picture"/>
            <a:graphic>
              <a:graphicData uri="http://schemas.openxmlformats.org/drawingml/2006/picture">
                <pic:pic>
                  <pic:nvPicPr>
                    <pic:cNvPr descr="charts/n0_overview.png" id="22" name="Picture"/>
                    <pic:cNvPicPr>
                      <a:picLocks noChangeArrowheads="1" noChangeAspect="1"/>
                    </pic:cNvPicPr>
                  </pic:nvPicPr>
                  <pic:blipFill>
                    <a:blip r:embed="rId20"/>
                    <a:stretch>
                      <a:fillRect/>
                    </a:stretch>
                  </pic:blipFill>
                  <pic:spPr bwMode="auto">
                    <a:xfrm>
                      <a:off x="0" y="0"/>
                      <a:ext cx="5334000" cy="5071601"/>
                    </a:xfrm>
                    <a:prstGeom prst="rect">
                      <a:avLst/>
                    </a:prstGeom>
                    <a:noFill/>
                    <a:ln w="9525">
                      <a:noFill/>
                      <a:headEnd/>
                      <a:tailEnd/>
                    </a:ln>
                  </pic:spPr>
                </pic:pic>
              </a:graphicData>
            </a:graphic>
          </wp:inline>
        </w:drawing>
      </w:r>
    </w:p>
    <w:p>
      <w:pPr>
        <w:pStyle w:val="BodyText"/>
        <w:spacing w:after="200"/>
        <w:jc w:val="both"/>
      </w:pPr>
      <w:r>
        <w:rPr>
          <w:bCs/>
          <w:b/>
          <w:sz w:val="19"/>
        </w:rPr>
        <w:t xml:space="preserve">圖 1　計畫總覽。</w:t>
      </w:r>
      <w:r>
        <w:rPr>
          <w:sz w:val="19"/>
        </w:rPr>
        <w:t xml:space="preserve"> </w:t>
      </w:r>
      <w:r>
        <w:rPr>
          <w:sz w:val="19"/>
        </w:rPr>
        <w:t xml:space="preserve">問題、做法、衛星必要性、效果與制度路徑；效果數字為本作品推估（基準情境：轉免勘 50%、C 級每人日 12 筆），詳見第四章。</w:t>
      </w:r>
    </w:p>
    <w:bookmarkEnd w:id="23"/>
    <w:bookmarkStart w:id="41" w:name="二需求分析"/>
    <w:p>
      <w:pPr>
        <w:pStyle w:val="Heading2"/>
      </w:pPr>
      <w:r>
        <w:t xml:space="preserve">二、需求分析</w:t>
      </w:r>
    </w:p>
    <w:p>
      <w:pPr>
        <w:pStyle w:val="FirstParagraph"/>
        <w:jc w:val="both"/>
      </w:pPr>
      <w:r>
        <w:rPr>
          <w:bCs/>
          <w:b/>
        </w:rPr>
        <w:t xml:space="preserve">公所農業課平均 4 人，大型災害時每人約須勘查 370 筆，撥款平均 55 天、超過法定 44 天；現行規定已允許免勘，但公所缺乏可採信的客觀證據。</w:t>
      </w:r>
    </w:p>
    <w:p>
      <w:pPr>
        <w:pStyle w:val="BodyText"/>
        <w:jc w:val="both"/>
      </w:pPr>
      <w:r>
        <w:t xml:space="preserve">本章說明農業天災救助的規模與延遲、公所在流程中的困境與可銜接的法定接點，並回顧國內外方案以界定研究缺口。</w:t>
      </w:r>
    </w:p>
    <w:bookmarkStart w:id="39" w:name="應用需求分析"/>
    <w:p>
      <w:pPr>
        <w:pStyle w:val="Heading3"/>
      </w:pPr>
      <w:r>
        <w:t xml:space="preserve">1. 應用需求分析</w:t>
      </w:r>
    </w:p>
    <w:p>
      <w:pPr>
        <w:pStyle w:val="FirstParagraph"/>
        <w:jc w:val="both"/>
      </w:pPr>
      <w:r>
        <w:rPr>
          <w:bCs/>
          <w:b/>
        </w:rPr>
        <w:t xml:space="preserve">209,189 件救助案件中，須現勘案件平均 58 天撥款，免勘案件 24–30 天，而免勘與視同案件合計僅占 3.7%〔42〕。</w:t>
      </w:r>
    </w:p>
    <w:p>
      <w:pPr>
        <w:pStyle w:val="BodyText"/>
        <w:keepNext/>
        <w:spacing w:before="160"/>
        <w:jc w:val="both"/>
      </w:pPr>
      <w:r>
        <w:rPr>
          <w:bCs/>
          <w:rFonts w:ascii="Times New Roman" w:hAnsi="Times New Roman" w:eastAsia="微軟正黑體"/>
          <w:b/>
          <w:color w:val="14213D"/>
        </w:rPr>
        <w:t xml:space="preserve">(1) 問題規模與救助延遲</w:t>
      </w:r>
    </w:p>
    <w:p>
      <w:pPr>
        <w:pStyle w:val="BodyText"/>
        <w:jc w:val="both"/>
      </w:pPr>
      <w:r>
        <w:rPr>
          <w:bCs/>
          <w:b/>
        </w:rPr>
        <w:t xml:space="preserve">2025 年五起颱風豪雨農損 50.66 億元；丹娜絲災後 86 天，核撥金額為初勘合格金額的 59%〔46〕〔49〕〔50〕。</w:t>
      </w:r>
    </w:p>
    <w:p>
      <w:pPr>
        <w:pStyle w:val="BodyText"/>
        <w:jc w:val="both"/>
      </w:pPr>
      <w:r>
        <w:t xml:space="preserve">近 10 年我國農作物天災損失合計 844.5 億元，平均每年 84.5 億元〔12〕。2025 年共有五起颱風豪雨公告救助，合計農業損失 50.66 億元，其中丹娜絲颱風與 0708 豪雨即占 65%（圖 2），另造成漁產損失約 7.7 億元〔49〕〔50〕。災損常於災後陸續浮現：丹娜絲損失兩週內上修約 3.3 倍，0728 豪雨最末報較首報增加約 20 倍〔49〕〔50〕。</w:t>
      </w:r>
    </w:p>
    <w:p>
      <w:pPr>
        <w:pStyle w:val="BodyText"/>
        <w:keepNext/>
        <w:jc w:val="center"/>
      </w:pPr>
      <w:r>
        <w:drawing>
          <wp:inline>
            <wp:extent cx="5334000" cy="2222500"/>
            <wp:effectExtent b="0" l="0" r="0" t="0"/>
            <wp:docPr descr="" title="" id="25" name="Picture"/>
            <a:graphic>
              <a:graphicData uri="http://schemas.openxmlformats.org/drawingml/2006/picture">
                <pic:pic>
                  <pic:nvPicPr>
                    <pic:cNvPr descr="charts/n1_losses.png" id="26" name="Picture"/>
                    <pic:cNvPicPr>
                      <a:picLocks noChangeArrowheads="1" noChangeAspect="1"/>
                    </pic:cNvPicPr>
                  </pic:nvPicPr>
                  <pic:blipFill>
                    <a:blip r:embed="rId24"/>
                    <a:stretch>
                      <a:fillRect/>
                    </a:stretch>
                  </pic:blipFill>
                  <pic:spPr bwMode="auto">
                    <a:xfrm>
                      <a:off x="0" y="0"/>
                      <a:ext cx="5334000" cy="2222500"/>
                    </a:xfrm>
                    <a:prstGeom prst="rect">
                      <a:avLst/>
                    </a:prstGeom>
                    <a:noFill/>
                    <a:ln w="9525">
                      <a:noFill/>
                      <a:headEnd/>
                      <a:tailEnd/>
                    </a:ln>
                  </pic:spPr>
                </pic:pic>
              </a:graphicData>
            </a:graphic>
          </wp:inline>
        </w:drawing>
      </w:r>
    </w:p>
    <w:p>
      <w:pPr>
        <w:pStyle w:val="BodyText"/>
        <w:spacing w:after="200"/>
        <w:jc w:val="both"/>
      </w:pPr>
      <w:r>
        <w:rPr>
          <w:bCs/>
          <w:b/>
          <w:sz w:val="19"/>
        </w:rPr>
        <w:t xml:space="preserve">圖 2　2025 年颱風豪雨農業損失。</w:t>
      </w:r>
      <w:r>
        <w:rPr>
          <w:sz w:val="19"/>
        </w:rPr>
        <w:t xml:space="preserve"> </w:t>
      </w:r>
      <w:r>
        <w:rPr>
          <w:sz w:val="19"/>
        </w:rPr>
        <w:t xml:space="preserve">資料來源：農業部統計處〔49〕〔50〕。</w:t>
      </w:r>
    </w:p>
    <w:p>
      <w:pPr>
        <w:pStyle w:val="BodyText"/>
        <w:jc w:val="both"/>
      </w:pPr>
      <w:r>
        <w:t xml:space="preserve">公告雖快，撥款卻慢。丹娜絲災後 86 天，公所初勘合格 51.5 億元，核撥僅 30.18 億元（約 59%），約三分之一停滯於「公所勘查至縣府提報」之間〔46〕。審計部統計 2021 年 8 月豪雨 209,189 件案件，申請到撥款平均 55 天，超過法定 44 天；若依勘查方式區分，須現勘案件平均 58 天，具客觀證明而免勘者僅 24–30 天（圖 3）〔42〕。然而免勘與視同案件合計僅占 3.7%，10 個縣市因擔心溢領而維持逐筆現勘〔42〕。由此可知，</w:t>
      </w:r>
      <w:r>
        <w:rPr>
          <w:bCs/>
          <w:b/>
        </w:rPr>
        <w:t xml:space="preserve">制度已允許免勘，欠缺的是公所可以採信的客觀證據</w:t>
      </w:r>
      <w:r>
        <w:t xml:space="preserve">。</w:t>
      </w:r>
    </w:p>
    <w:p>
      <w:pPr>
        <w:pStyle w:val="BodyText"/>
        <w:keepNext/>
        <w:jc w:val="center"/>
      </w:pPr>
      <w:r>
        <w:drawing>
          <wp:inline>
            <wp:extent cx="5334000" cy="2525796"/>
            <wp:effectExtent b="0" l="0" r="0" t="0"/>
            <wp:docPr descr="" title="" id="28" name="Picture"/>
            <a:graphic>
              <a:graphicData uri="http://schemas.openxmlformats.org/drawingml/2006/picture">
                <pic:pic>
                  <pic:nvPicPr>
                    <pic:cNvPr descr="charts/fig2_days.png" id="29" name="Picture"/>
                    <pic:cNvPicPr>
                      <a:picLocks noChangeArrowheads="1" noChangeAspect="1"/>
                    </pic:cNvPicPr>
                  </pic:nvPicPr>
                  <pic:blipFill>
                    <a:blip r:embed="rId27"/>
                    <a:stretch>
                      <a:fillRect/>
                    </a:stretch>
                  </pic:blipFill>
                  <pic:spPr bwMode="auto">
                    <a:xfrm>
                      <a:off x="0" y="0"/>
                      <a:ext cx="5334000" cy="2525796"/>
                    </a:xfrm>
                    <a:prstGeom prst="rect">
                      <a:avLst/>
                    </a:prstGeom>
                    <a:noFill/>
                    <a:ln w="9525">
                      <a:noFill/>
                      <a:headEnd/>
                      <a:tailEnd/>
                    </a:ln>
                  </pic:spPr>
                </pic:pic>
              </a:graphicData>
            </a:graphic>
          </wp:inline>
        </w:drawing>
      </w:r>
    </w:p>
    <w:p>
      <w:pPr>
        <w:pStyle w:val="BodyText"/>
        <w:spacing w:after="200"/>
        <w:jc w:val="both"/>
      </w:pPr>
      <w:r>
        <w:rPr>
          <w:bCs/>
          <w:b/>
          <w:sz w:val="19"/>
        </w:rPr>
        <w:t xml:space="preserve">圖 3　不同勘查方式的申請到撥款平均天數。</w:t>
      </w:r>
      <w:r>
        <w:rPr>
          <w:sz w:val="19"/>
        </w:rPr>
        <w:t xml:space="preserve"> </w:t>
      </w:r>
      <w:r>
        <w:rPr>
          <w:sz w:val="19"/>
        </w:rPr>
        <w:t xml:space="preserve">資料來源：監察院（2023），2021 年 8 月豪雨 209,189 件〔42〕。</w:t>
      </w:r>
    </w:p>
    <w:p>
      <w:pPr>
        <w:pStyle w:val="BodyText"/>
        <w:keepNext/>
        <w:spacing w:before="160"/>
        <w:jc w:val="both"/>
      </w:pPr>
      <w:r>
        <w:rPr>
          <w:bCs/>
          <w:rFonts w:ascii="Times New Roman" w:hAnsi="Times New Roman" w:eastAsia="微軟正黑體"/>
          <w:b/>
          <w:color w:val="14213D"/>
        </w:rPr>
        <w:t xml:space="preserve">(2) 公所在流程中的位置與痛點</w:t>
      </w:r>
    </w:p>
    <w:p>
      <w:pPr>
        <w:pStyle w:val="BodyText"/>
        <w:jc w:val="both"/>
      </w:pPr>
      <w:r>
        <w:rPr>
          <w:bCs/>
          <w:b/>
        </w:rPr>
        <w:t xml:space="preserve">法定流程中，公所勘查是唯一仍須逐筆到場的步驟，公所同時面臨量能、證據與判定三方面的困難。</w:t>
      </w:r>
    </w:p>
    <w:p>
      <w:pPr>
        <w:pStyle w:val="BodyText"/>
        <w:jc w:val="both"/>
      </w:pPr>
      <w:r>
        <w:t xml:space="preserve">現金救助自災害發生至撥款須經法定的層級與期限（圖 4）。提報、公告、申請與撥款均已有固定時限或資訊系統支援，唯有「公所勘查」仍須人力逐筆到場，是全流程最慢的環節〔42〕〔103〕。本作品僅於提報（熱區圖）與勘查（分級清單）兩處介入判讀，並替農民預填申請表，其餘法定流程不變。</w:t>
      </w:r>
    </w:p>
    <w:p>
      <w:pPr>
        <w:pStyle w:val="BodyText"/>
        <w:keepNext/>
        <w:jc w:val="center"/>
      </w:pPr>
      <w:r>
        <w:drawing>
          <wp:inline>
            <wp:extent cx="4693920" cy="2404202"/>
            <wp:effectExtent b="0" l="0" r="0" t="0"/>
            <wp:docPr descr="" title="" id="31" name="Picture"/>
            <a:graphic>
              <a:graphicData uri="http://schemas.openxmlformats.org/drawingml/2006/picture">
                <pic:pic>
                  <pic:nvPicPr>
                    <pic:cNvPr descr="charts/t1_relief_steps.png" id="32" name="Picture"/>
                    <pic:cNvPicPr>
                      <a:picLocks noChangeArrowheads="1" noChangeAspect="1"/>
                    </pic:cNvPicPr>
                  </pic:nvPicPr>
                  <pic:blipFill>
                    <a:blip r:embed="rId30"/>
                    <a:stretch>
                      <a:fillRect/>
                    </a:stretch>
                  </pic:blipFill>
                  <pic:spPr bwMode="auto">
                    <a:xfrm>
                      <a:off x="0" y="0"/>
                      <a:ext cx="4693920" cy="2404202"/>
                    </a:xfrm>
                    <a:prstGeom prst="rect">
                      <a:avLst/>
                    </a:prstGeom>
                    <a:noFill/>
                    <a:ln w="9525">
                      <a:noFill/>
                      <a:headEnd/>
                      <a:tailEnd/>
                    </a:ln>
                  </pic:spPr>
                </pic:pic>
              </a:graphicData>
            </a:graphic>
          </wp:inline>
        </w:drawing>
      </w:r>
    </w:p>
    <w:p>
      <w:pPr>
        <w:pStyle w:val="BodyText"/>
        <w:spacing w:after="200"/>
        <w:jc w:val="both"/>
      </w:pPr>
      <w:r>
        <w:rPr>
          <w:bCs/>
          <w:b/>
          <w:sz w:val="19"/>
        </w:rPr>
        <w:t xml:space="preserve">圖 4　現金救助流程與天相星在各環節的角色。</w:t>
      </w:r>
      <w:r>
        <w:rPr>
          <w:sz w:val="19"/>
        </w:rPr>
        <w:t xml:space="preserve"> </w:t>
      </w:r>
      <w:r>
        <w:rPr>
          <w:sz w:val="19"/>
        </w:rPr>
        <w:t xml:space="preserve">申請期為公告翌日起 10 個工作日，勘查期為 30 日，其後報送、縣府抽查、農糧署審核各 7 日〔77〕〔103〕。</w:t>
      </w:r>
    </w:p>
    <w:p>
      <w:pPr>
        <w:pStyle w:val="BodyText"/>
        <w:jc w:val="both"/>
      </w:pPr>
      <w:r>
        <w:t xml:space="preserve">公所的困境可歸納為三類（表 1）：量能不足、證據不足與判定困難。</w:t>
      </w:r>
    </w:p>
    <w:p>
      <w:pPr>
        <w:pStyle w:val="BodyText"/>
        <w:keepNext/>
        <w:spacing w:before="160"/>
        <w:jc w:val="both"/>
      </w:pPr>
      <w:r>
        <w:rPr>
          <w:bCs/>
          <w:rFonts w:ascii="Times New Roman" w:hAnsi="Times New Roman" w:eastAsia="微軟正黑體"/>
          <w:b/>
          <w:sz w:val="20"/>
        </w:rPr>
        <w:t xml:space="preserve">表 1　公所勘查工作的主要困境</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2640"/>
        <w:gridCol w:w="2640"/>
        <w:gridCol w:w="2640"/>
      </w:tblGrid>
      <w:tr>
        <w:trPr>
          <w:tblHeader w:val="true"/>
        </w:trPr>
        <w:tc>
          <w:tcPr>
            <w:shd w:val="clear" w:color="auto" w:fill="E8EDF6"/>
          </w:tcPr>
          <w:p>
            <w:pPr>
              <w:pStyle w:val="Compact"/>
              <w:spacing w:after="20" w:line="276" w:lineRule="auto"/>
              <w:jc w:val="left"/>
            </w:pPr>
            <w:r>
              <w:rPr>
                <w:b/>
                <w:sz w:val="19"/>
              </w:rPr>
              <w:t xml:space="preserve">類型</w:t>
            </w:r>
          </w:p>
        </w:tc>
        <w:tc>
          <w:tcPr>
            <w:shd w:val="clear" w:color="auto" w:fill="E8EDF6"/>
          </w:tcPr>
          <w:p>
            <w:pPr>
              <w:pStyle w:val="Compact"/>
              <w:spacing w:after="20" w:line="276" w:lineRule="auto"/>
              <w:jc w:val="left"/>
            </w:pPr>
            <w:r>
              <w:rPr>
                <w:b/>
                <w:sz w:val="19"/>
              </w:rPr>
              <w:t xml:space="preserve">具體事實</w:t>
            </w:r>
          </w:p>
        </w:tc>
        <w:tc>
          <w:tcPr>
            <w:shd w:val="clear" w:color="auto" w:fill="E8EDF6"/>
          </w:tcPr>
          <w:p>
            <w:pPr>
              <w:pStyle w:val="Compact"/>
              <w:spacing w:after="20" w:line="276" w:lineRule="auto"/>
              <w:jc w:val="left"/>
            </w:pPr>
            <w:r>
              <w:rPr>
                <w:b/>
                <w:sz w:val="19"/>
              </w:rPr>
              <w:t xml:space="preserve">來源</w:t>
            </w:r>
          </w:p>
        </w:tc>
      </w:tr>
      <w:tr>
        <w:tc>
          <w:tcPr/>
          <w:p>
            <w:pPr>
              <w:pStyle w:val="Compact"/>
              <w:spacing w:after="20" w:line="276" w:lineRule="auto"/>
              <w:jc w:val="left"/>
            </w:pPr>
            <w:r>
              <w:rPr>
                <w:sz w:val="19"/>
              </w:rPr>
              <w:t xml:space="preserve">量能不足</w:t>
            </w:r>
          </w:p>
        </w:tc>
        <w:tc>
          <w:tcPr/>
          <w:p>
            <w:pPr>
              <w:pStyle w:val="Compact"/>
              <w:spacing w:after="20" w:line="276" w:lineRule="auto"/>
              <w:jc w:val="left"/>
            </w:pPr>
            <w:r>
              <w:rPr>
                <w:sz w:val="19"/>
              </w:rPr>
              <w:t xml:space="preserve">農業課平均 4 人，大型災害每人約 370 筆；雲林單一品項曾逾 10,000 件；撥款最長 100 天</w:t>
            </w:r>
          </w:p>
        </w:tc>
        <w:tc>
          <w:tcPr/>
          <w:p>
            <w:pPr>
              <w:pStyle w:val="Compact"/>
              <w:spacing w:after="20" w:line="276" w:lineRule="auto"/>
              <w:jc w:val="left"/>
            </w:pPr>
            <w:r>
              <w:rPr>
                <w:sz w:val="19"/>
              </w:rPr>
              <w:t xml:space="preserve">〔4〕〔42〕</w:t>
            </w:r>
          </w:p>
        </w:tc>
      </w:tr>
      <w:tr>
        <w:tc>
          <w:tcPr/>
          <w:p>
            <w:pPr>
              <w:pStyle w:val="Compact"/>
              <w:spacing w:after="20" w:line="276" w:lineRule="auto"/>
              <w:jc w:val="left"/>
            </w:pPr>
            <w:r>
              <w:rPr>
                <w:sz w:val="19"/>
              </w:rPr>
              <w:t xml:space="preserve">證據不足</w:t>
            </w:r>
          </w:p>
        </w:tc>
        <w:tc>
          <w:tcPr/>
          <w:p>
            <w:pPr>
              <w:pStyle w:val="Compact"/>
              <w:spacing w:after="20" w:line="276" w:lineRule="auto"/>
              <w:jc w:val="left"/>
            </w:pPr>
            <w:r>
              <w:rPr>
                <w:sz w:val="19"/>
              </w:rPr>
              <w:t xml:space="preserve">現勘只看得到災後的田；古坑深山竹林無法存證被判不合格；勘災人員曾於山區受傷；地號常夾雜農路或與實際耕作不符；天氣參數有測站盲區、僅約 40 種品項</w:t>
            </w:r>
          </w:p>
        </w:tc>
        <w:tc>
          <w:tcPr/>
          <w:p>
            <w:pPr>
              <w:pStyle w:val="Compact"/>
              <w:spacing w:after="20" w:line="276" w:lineRule="auto"/>
              <w:jc w:val="left"/>
            </w:pPr>
            <w:r>
              <w:rPr>
                <w:sz w:val="19"/>
              </w:rPr>
              <w:t xml:space="preserve">〔4〕〔8〕〔19〕〔42〕</w:t>
            </w:r>
          </w:p>
        </w:tc>
      </w:tr>
      <w:tr>
        <w:tc>
          <w:tcPr/>
          <w:p>
            <w:pPr>
              <w:pStyle w:val="Compact"/>
              <w:spacing w:after="20" w:line="276" w:lineRule="auto"/>
              <w:jc w:val="left"/>
            </w:pPr>
            <w:r>
              <w:rPr>
                <w:sz w:val="19"/>
              </w:rPr>
              <w:t xml:space="preserve">判定困難</w:t>
            </w:r>
          </w:p>
        </w:tc>
        <w:tc>
          <w:tcPr/>
          <w:p>
            <w:pPr>
              <w:pStyle w:val="Compact"/>
              <w:spacing w:after="20" w:line="276" w:lineRule="auto"/>
              <w:jc w:val="left"/>
            </w:pPr>
            <w:r>
              <w:rPr>
                <w:sz w:val="19"/>
              </w:rPr>
              <w:t xml:space="preserve">山陀兒平均損害 20%、凱米 28%，大量案件落在門檻附近；審計單位已以衛星植生指標查核；未達標準仍獲救助 2.615 億元</w:t>
            </w:r>
          </w:p>
        </w:tc>
        <w:tc>
          <w:tcPr/>
          <w:p>
            <w:pPr>
              <w:pStyle w:val="Compact"/>
              <w:spacing w:after="20" w:line="276" w:lineRule="auto"/>
              <w:jc w:val="left"/>
            </w:pPr>
            <w:r>
              <w:rPr>
                <w:sz w:val="19"/>
              </w:rPr>
              <w:t xml:space="preserve">〔4〕〔14〕〔15〕〔42〕</w:t>
            </w:r>
          </w:p>
        </w:tc>
      </w:tr>
    </w:tbl>
    <w:p>
      <w:pPr>
        <w:pStyle w:val="BodyText"/>
        <w:keepNext/>
        <w:spacing w:before="160"/>
        <w:jc w:val="both"/>
      </w:pPr>
      <w:r>
        <w:rPr>
          <w:bCs/>
          <w:rFonts w:ascii="Times New Roman" w:hAnsi="Times New Roman" w:eastAsia="微軟正黑體"/>
          <w:b/>
          <w:color w:val="14213D"/>
        </w:rPr>
        <w:t xml:space="preserve">(3) 使用情境與制度接點</w:t>
      </w:r>
    </w:p>
    <w:p>
      <w:pPr>
        <w:pStyle w:val="BodyText"/>
        <w:jc w:val="both"/>
      </w:pPr>
      <w:r>
        <w:rPr>
          <w:bCs/>
          <w:b/>
        </w:rPr>
        <w:t xml:space="preserve">現行規定已有三條免勘路徑，本作品在不修法的前提下對應提供證據或工具。</w:t>
      </w:r>
    </w:p>
    <w:p>
      <w:pPr>
        <w:pStyle w:val="BodyText"/>
        <w:jc w:val="both"/>
      </w:pPr>
      <w:r>
        <w:t xml:space="preserve">颱風過境後，鄉公所兩、三位承辦人員須於 30 日內處理數千筆申請，且山區道路可能仍中斷。此時最需要的是一份區分「可依客觀證據處理」與「必須到場」的優先清單，以及每塊田災前狀態的客觀紀錄。</w:t>
      </w:r>
    </w:p>
    <w:p>
      <w:pPr>
        <w:pStyle w:val="BodyText"/>
        <w:jc w:val="both"/>
      </w:pPr>
      <w:r>
        <w:t xml:space="preserve">本作品的前提是</w:t>
      </w:r>
      <w:r>
        <w:rPr>
          <w:bCs/>
          <w:b/>
        </w:rPr>
        <w:t xml:space="preserve">不需修法即可起步</w:t>
      </w:r>
      <w:r>
        <w:t xml:space="preserve">。救助辦法已明定「勘查得以科學技術輔助之」，現行公所不必到場的途徑共有三條（圖 5）〔3〕〔42〕〔103〕。其中「App 照片＋公所認定」為現行可用；「客觀證明免勘」須同時達公告天氣參數並具種植客觀證明文件，本作品的存證報告尚未獲此認可，故列為制度推動目標。</w:t>
      </w:r>
    </w:p>
    <w:p>
      <w:pPr>
        <w:pStyle w:val="BodyText"/>
        <w:keepNext/>
        <w:jc w:val="center"/>
      </w:pPr>
      <w:r>
        <w:drawing>
          <wp:inline>
            <wp:extent cx="5334000" cy="1389529"/>
            <wp:effectExtent b="0" l="0" r="0" t="0"/>
            <wp:docPr descr="" title="" id="34" name="Picture"/>
            <a:graphic>
              <a:graphicData uri="http://schemas.openxmlformats.org/drawingml/2006/picture">
                <pic:pic>
                  <pic:nvPicPr>
                    <pic:cNvPr descr="charts/n12_pathways.png" id="35" name="Picture"/>
                    <pic:cNvPicPr>
                      <a:picLocks noChangeArrowheads="1" noChangeAspect="1"/>
                    </pic:cNvPicPr>
                  </pic:nvPicPr>
                  <pic:blipFill>
                    <a:blip r:embed="rId33"/>
                    <a:stretch>
                      <a:fillRect/>
                    </a:stretch>
                  </pic:blipFill>
                  <pic:spPr bwMode="auto">
                    <a:xfrm>
                      <a:off x="0" y="0"/>
                      <a:ext cx="5334000" cy="1389529"/>
                    </a:xfrm>
                    <a:prstGeom prst="rect">
                      <a:avLst/>
                    </a:prstGeom>
                    <a:noFill/>
                    <a:ln w="9525">
                      <a:noFill/>
                      <a:headEnd/>
                      <a:tailEnd/>
                    </a:ln>
                  </pic:spPr>
                </pic:pic>
              </a:graphicData>
            </a:graphic>
          </wp:inline>
        </w:drawing>
      </w:r>
    </w:p>
    <w:p>
      <w:pPr>
        <w:pStyle w:val="BodyText"/>
        <w:spacing w:after="200"/>
        <w:jc w:val="both"/>
      </w:pPr>
      <w:r>
        <w:rPr>
          <w:bCs/>
          <w:b/>
          <w:sz w:val="19"/>
        </w:rPr>
        <w:t xml:space="preserve">圖 5　現行免勘路徑與天相星的對應。</w:t>
      </w:r>
      <w:r>
        <w:rPr>
          <w:sz w:val="19"/>
        </w:rPr>
        <w:t xml:space="preserve"> </w:t>
      </w:r>
      <w:r>
        <w:rPr>
          <w:sz w:val="19"/>
        </w:rPr>
        <w:t xml:space="preserve">依救助辦法第 12 條與作業要點整理〔77〕〔103〕。</w:t>
      </w:r>
    </w:p>
    <w:p>
      <w:pPr>
        <w:pStyle w:val="BodyText"/>
        <w:jc w:val="both"/>
      </w:pPr>
      <w:r>
        <w:t xml:space="preserve">農業部 2025 年 4 月 18 日農糧字第 1141108673 號公告修正了公所得免實地勘查的「種植客觀證明文件」，適用於 2025 年 1 月 1 日以後發生的天然災害〔128〕（圖 6）。依該公告，災損程度符合公告天氣參數或經公告為災損嚴重時，具下列文件之一者，公所得免勘查：其一，農民於當年度或前一年度，以申請救助的土地參與綠色環境給付計畫並領有給付（含農業環境基本給付、轉作獎勵、生產環境維護給付及大專業農轉作獎勵等）、通過糧作物產銷履歷驗證、領有農業天然災害現金救助，或領有農業保險保費補助；其二，農民以農業部「農產業天然災害現地照相 App」拍攝當次災害損失照片，並於公告受理期間內上傳。無上述文件者，公所應抽樣勘查 20% 以上。此一公告使本作品的設計更有依據：平時登錄所連結的綠色環境給付紀錄，本身即屬現行認可的客觀證明；天相星的角色在於協助公所查證這些紀錄是否對應同一坵塊與作物，並在未達天氣參數或缺乏紀錄的案件上提供損失證據。2025 年樺加沙颱風後，花蓮縣政府亦針對光復鄉指定地段公告，經查證具客觀證明者得免勘查〔134〕。</w:t>
      </w:r>
    </w:p>
    <w:p>
      <w:pPr>
        <w:pStyle w:val="BodyText"/>
        <w:keepNext/>
        <w:jc w:val="center"/>
      </w:pPr>
      <w:r>
        <w:drawing>
          <wp:inline>
            <wp:extent cx="2773680" cy="2790613"/>
            <wp:effectExtent b="0" l="0" r="0" t="0"/>
            <wp:docPr descr="" title="" id="37" name="Picture"/>
            <a:graphic>
              <a:graphicData uri="http://schemas.openxmlformats.org/drawingml/2006/picture">
                <pic:pic>
                  <pic:nvPicPr>
                    <pic:cNvPr descr="charts/n21_notice.png" id="38" name="Picture"/>
                    <pic:cNvPicPr>
                      <a:picLocks noChangeArrowheads="1" noChangeAspect="1"/>
                    </pic:cNvPicPr>
                  </pic:nvPicPr>
                  <pic:blipFill>
                    <a:blip r:embed="rId36"/>
                    <a:stretch>
                      <a:fillRect/>
                    </a:stretch>
                  </pic:blipFill>
                  <pic:spPr bwMode="auto">
                    <a:xfrm>
                      <a:off x="0" y="0"/>
                      <a:ext cx="2773680" cy="2790613"/>
                    </a:xfrm>
                    <a:prstGeom prst="rect">
                      <a:avLst/>
                    </a:prstGeom>
                    <a:noFill/>
                    <a:ln w="9525">
                      <a:noFill/>
                      <a:headEnd/>
                      <a:tailEnd/>
                    </a:ln>
                  </pic:spPr>
                </pic:pic>
              </a:graphicData>
            </a:graphic>
          </wp:inline>
        </w:drawing>
      </w:r>
    </w:p>
    <w:p>
      <w:pPr>
        <w:pStyle w:val="BodyText"/>
        <w:spacing w:after="200"/>
        <w:jc w:val="both"/>
      </w:pPr>
      <w:r>
        <w:rPr>
          <w:bCs/>
          <w:b/>
          <w:sz w:val="19"/>
        </w:rPr>
        <w:t xml:space="preserve">圖 6　農業部種植客觀證明公告原文（節錄）。</w:t>
      </w:r>
      <w:r>
        <w:rPr>
          <w:sz w:val="19"/>
        </w:rPr>
        <w:t xml:space="preserve"> </w:t>
      </w:r>
      <w:r>
        <w:rPr>
          <w:sz w:val="19"/>
        </w:rPr>
        <w:t xml:space="preserve">2025 年 4 月 18 日農糧字第 1141108673 號〔128〕。</w:t>
      </w:r>
    </w:p>
    <w:p>
      <w:pPr>
        <w:pStyle w:val="BodyText"/>
        <w:keepNext/>
        <w:spacing w:before="160"/>
        <w:jc w:val="both"/>
      </w:pPr>
      <w:r>
        <w:rPr>
          <w:bCs/>
          <w:rFonts w:ascii="Times New Roman" w:hAnsi="Times New Roman" w:eastAsia="微軟正黑體"/>
          <w:b/>
          <w:color w:val="14213D"/>
        </w:rPr>
        <w:t xml:space="preserve">(4) 題目定位</w:t>
      </w:r>
    </w:p>
    <w:p>
      <w:pPr>
        <w:pStyle w:val="BodyText"/>
        <w:jc w:val="both"/>
      </w:pPr>
      <w:r>
        <w:rPr>
          <w:bCs/>
          <w:b/>
        </w:rPr>
        <w:t xml:space="preserve">本作品處理救助勘查與平時農地管理，對應題目六；題目五的範圍為災害應變。</w:t>
      </w:r>
    </w:p>
    <w:p>
      <w:pPr>
        <w:pStyle w:val="BodyText"/>
        <w:jc w:val="both"/>
      </w:pPr>
      <w:r>
        <w:t xml:space="preserve">題目五雖亦涉及災前災後比對，但核心為災害應變；本作品服務公所的救助勘查與平時農地管理，對應題目六「作物生長狀態辨識、災損監測」與「作業範圍廣、人力巡檢成本高」之情境，並以 GNSS 定位樁、衛星通訊與農民回報座標回應「偏鄉通訊涵蓋不足」。</w:t>
      </w:r>
    </w:p>
    <w:bookmarkEnd w:id="39"/>
    <w:bookmarkStart w:id="40" w:name="國內外現況分析"/>
    <w:p>
      <w:pPr>
        <w:pStyle w:val="Heading3"/>
      </w:pPr>
      <w:r>
        <w:t xml:space="preserve">2. 國內外現況分析</w:t>
      </w:r>
    </w:p>
    <w:p>
      <w:pPr>
        <w:pStyle w:val="FirstParagraph"/>
        <w:jc w:val="both"/>
      </w:pPr>
      <w:r>
        <w:rPr>
          <w:bCs/>
          <w:b/>
        </w:rPr>
        <w:t xml:space="preserve">現有方案多缺乏災前紀錄或不處理災後損失，目前沒有為公所勘查設計、可同時證明種植與損失的工具。</w:t>
      </w:r>
    </w:p>
    <w:p>
      <w:pPr>
        <w:pStyle w:val="BodyText"/>
        <w:jc w:val="both"/>
      </w:pPr>
      <w:r>
        <w:t xml:space="preserve">國外已有多國將衛星監測納入農業行政。愛爾蘭 AMS 以 Sentinel-1／2 監測約 110–130 萬筆申報地塊，僅紅燈案件需農民補證，歐盟自 2023 年起要求會員國採用〔27〕〔28〕；義大利 AGEA 以衛星取代例行稽核，成本降低 30%–40%、實地檢查降至 3%–5%〔68〕；印度 RIICE 以雷達作為保險理賠證據〔69〕。國內則有災損天氣參數〔19〕、農災 App〔20〕、無人機判釋試辦〔35〕與雲林 NDVI 試算〔4〕等工具。表 2 比較各方案。</w:t>
      </w:r>
    </w:p>
    <w:p>
      <w:pPr>
        <w:pStyle w:val="BodyText"/>
        <w:keepNext/>
        <w:spacing w:before="160"/>
        <w:jc w:val="both"/>
      </w:pPr>
      <w:r>
        <w:rPr>
          <w:bCs/>
          <w:rFonts w:ascii="Times New Roman" w:hAnsi="Times New Roman" w:eastAsia="微軟正黑體"/>
          <w:b/>
          <w:sz w:val="20"/>
        </w:rPr>
        <w:t xml:space="preserve">表 2　現有方案與本作品比較</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1320"/>
        <w:gridCol w:w="1320"/>
        <w:gridCol w:w="1320"/>
        <w:gridCol w:w="1320"/>
        <w:gridCol w:w="1320"/>
        <w:gridCol w:w="1320"/>
      </w:tblGrid>
      <w:tr>
        <w:trPr>
          <w:tblHeader w:val="true"/>
        </w:trPr>
        <w:tc>
          <w:tcPr>
            <w:shd w:val="clear" w:color="auto" w:fill="E8EDF6"/>
          </w:tcPr>
          <w:p>
            <w:pPr>
              <w:pStyle w:val="Compact"/>
              <w:spacing w:after="20" w:line="276" w:lineRule="auto"/>
              <w:jc w:val="left"/>
            </w:pPr>
            <w:r>
              <w:rPr>
                <w:b/>
                <w:sz w:val="19"/>
              </w:rPr>
              <w:t xml:space="preserve">方案</w:t>
            </w:r>
          </w:p>
        </w:tc>
        <w:tc>
          <w:tcPr>
            <w:shd w:val="clear" w:color="auto" w:fill="E8EDF6"/>
          </w:tcPr>
          <w:p>
            <w:pPr>
              <w:pStyle w:val="Compact"/>
              <w:spacing w:after="20" w:line="276" w:lineRule="auto"/>
              <w:jc w:val="left"/>
            </w:pPr>
            <w:r>
              <w:rPr>
                <w:b/>
                <w:sz w:val="19"/>
              </w:rPr>
              <w:t xml:space="preserve">能證明</w:t>
            </w:r>
          </w:p>
        </w:tc>
        <w:tc>
          <w:tcPr>
            <w:shd w:val="clear" w:color="auto" w:fill="E8EDF6"/>
          </w:tcPr>
          <w:p>
            <w:pPr>
              <w:pStyle w:val="Compact"/>
              <w:spacing w:after="20" w:line="276" w:lineRule="auto"/>
              <w:jc w:val="left"/>
            </w:pPr>
            <w:r>
              <w:rPr>
                <w:b/>
                <w:sz w:val="19"/>
              </w:rPr>
              <w:t xml:space="preserve">災前紀錄</w:t>
            </w:r>
          </w:p>
        </w:tc>
        <w:tc>
          <w:tcPr>
            <w:shd w:val="clear" w:color="auto" w:fill="E8EDF6"/>
          </w:tcPr>
          <w:p>
            <w:pPr>
              <w:pStyle w:val="Compact"/>
              <w:spacing w:after="20" w:line="276" w:lineRule="auto"/>
              <w:jc w:val="left"/>
            </w:pPr>
            <w:r>
              <w:rPr>
                <w:b/>
                <w:sz w:val="19"/>
              </w:rPr>
              <w:t xml:space="preserve">公所須到場</w:t>
            </w:r>
          </w:p>
        </w:tc>
        <w:tc>
          <w:tcPr>
            <w:shd w:val="clear" w:color="auto" w:fill="E8EDF6"/>
          </w:tcPr>
          <w:p>
            <w:pPr>
              <w:pStyle w:val="Compact"/>
              <w:spacing w:after="20" w:line="276" w:lineRule="auto"/>
              <w:jc w:val="left"/>
            </w:pPr>
            <w:r>
              <w:rPr>
                <w:b/>
                <w:sz w:val="19"/>
              </w:rPr>
              <w:t xml:space="preserve">主要限制</w:t>
            </w:r>
          </w:p>
        </w:tc>
        <w:tc>
          <w:tcPr>
            <w:shd w:val="clear" w:color="auto" w:fill="E8EDF6"/>
          </w:tcPr>
          <w:p>
            <w:pPr>
              <w:pStyle w:val="Compact"/>
              <w:spacing w:after="20" w:line="276" w:lineRule="auto"/>
              <w:jc w:val="left"/>
            </w:pPr>
            <w:r>
              <w:rPr>
                <w:b/>
                <w:sz w:val="19"/>
              </w:rPr>
              <w:t xml:space="preserve">來源</w:t>
            </w:r>
          </w:p>
        </w:tc>
      </w:tr>
      <w:tr>
        <w:tc>
          <w:tcPr/>
          <w:p>
            <w:pPr>
              <w:pStyle w:val="Compact"/>
              <w:spacing w:after="20" w:line="276" w:lineRule="auto"/>
              <w:jc w:val="left"/>
            </w:pPr>
            <w:r>
              <w:rPr>
                <w:sz w:val="19"/>
              </w:rPr>
              <w:t xml:space="preserve">災損天氣參數</w:t>
            </w:r>
          </w:p>
        </w:tc>
        <w:tc>
          <w:tcPr/>
          <w:p>
            <w:pPr>
              <w:pStyle w:val="Compact"/>
              <w:spacing w:after="20" w:line="276" w:lineRule="auto"/>
              <w:jc w:val="left"/>
            </w:pPr>
            <w:r>
              <w:rPr>
                <w:sz w:val="19"/>
              </w:rPr>
              <w:t xml:space="preserve">損失（推論）</w:t>
            </w:r>
          </w:p>
        </w:tc>
        <w:tc>
          <w:tcPr/>
          <w:p>
            <w:pPr>
              <w:pStyle w:val="Compact"/>
              <w:spacing w:after="20" w:line="276" w:lineRule="auto"/>
              <w:jc w:val="left"/>
            </w:pPr>
            <w:r>
              <w:rPr>
                <w:sz w:val="19"/>
              </w:rPr>
              <w:t xml:space="preserve">無</w:t>
            </w:r>
          </w:p>
        </w:tc>
        <w:tc>
          <w:tcPr/>
          <w:p>
            <w:pPr>
              <w:pStyle w:val="Compact"/>
              <w:spacing w:after="20" w:line="276" w:lineRule="auto"/>
              <w:jc w:val="left"/>
            </w:pPr>
            <w:r>
              <w:rPr>
                <w:sz w:val="19"/>
              </w:rPr>
              <w:t xml:space="preserve">否</w:t>
            </w:r>
          </w:p>
        </w:tc>
        <w:tc>
          <w:tcPr/>
          <w:p>
            <w:pPr>
              <w:pStyle w:val="Compact"/>
              <w:spacing w:after="20" w:line="276" w:lineRule="auto"/>
              <w:jc w:val="left"/>
            </w:pPr>
            <w:r>
              <w:rPr>
                <w:sz w:val="19"/>
              </w:rPr>
              <w:t xml:space="preserve">測站盲區；約 40 種品項</w:t>
            </w:r>
          </w:p>
        </w:tc>
        <w:tc>
          <w:tcPr/>
          <w:p>
            <w:pPr>
              <w:pStyle w:val="Compact"/>
              <w:spacing w:after="20" w:line="276" w:lineRule="auto"/>
              <w:jc w:val="left"/>
            </w:pPr>
            <w:r>
              <w:rPr>
                <w:sz w:val="19"/>
              </w:rPr>
              <w:t xml:space="preserve">〔19〕</w:t>
            </w:r>
          </w:p>
        </w:tc>
      </w:tr>
      <w:tr>
        <w:tc>
          <w:tcPr/>
          <w:p>
            <w:pPr>
              <w:pStyle w:val="Compact"/>
              <w:spacing w:after="20" w:line="276" w:lineRule="auto"/>
              <w:jc w:val="left"/>
            </w:pPr>
            <w:r>
              <w:rPr>
                <w:sz w:val="19"/>
              </w:rPr>
              <w:t xml:space="preserve">農災 App</w:t>
            </w:r>
          </w:p>
        </w:tc>
        <w:tc>
          <w:tcPr/>
          <w:p>
            <w:pPr>
              <w:pStyle w:val="Compact"/>
              <w:spacing w:after="20" w:line="276" w:lineRule="auto"/>
              <w:jc w:val="left"/>
            </w:pPr>
            <w:r>
              <w:rPr>
                <w:sz w:val="19"/>
              </w:rPr>
              <w:t xml:space="preserve">輔助佐證</w:t>
            </w:r>
          </w:p>
        </w:tc>
        <w:tc>
          <w:tcPr/>
          <w:p>
            <w:pPr>
              <w:pStyle w:val="Compact"/>
              <w:spacing w:after="20" w:line="276" w:lineRule="auto"/>
              <w:jc w:val="left"/>
            </w:pPr>
            <w:r>
              <w:rPr>
                <w:sz w:val="19"/>
              </w:rPr>
              <w:t xml:space="preserve">無</w:t>
            </w:r>
          </w:p>
        </w:tc>
        <w:tc>
          <w:tcPr/>
          <w:p>
            <w:pPr>
              <w:pStyle w:val="Compact"/>
              <w:spacing w:after="20" w:line="276" w:lineRule="auto"/>
              <w:jc w:val="left"/>
            </w:pPr>
            <w:r>
              <w:rPr>
                <w:sz w:val="19"/>
              </w:rPr>
              <w:t xml:space="preserve">是</w:t>
            </w:r>
          </w:p>
        </w:tc>
        <w:tc>
          <w:tcPr/>
          <w:p>
            <w:pPr>
              <w:pStyle w:val="Compact"/>
              <w:spacing w:after="20" w:line="276" w:lineRule="auto"/>
              <w:jc w:val="left"/>
            </w:pPr>
            <w:r>
              <w:rPr>
                <w:sz w:val="19"/>
              </w:rPr>
              <w:t xml:space="preserve">須有人到場；GPS 約 ±20 公尺</w:t>
            </w:r>
          </w:p>
        </w:tc>
        <w:tc>
          <w:tcPr/>
          <w:p>
            <w:pPr>
              <w:pStyle w:val="Compact"/>
              <w:spacing w:after="20" w:line="276" w:lineRule="auto"/>
              <w:jc w:val="left"/>
            </w:pPr>
            <w:r>
              <w:rPr>
                <w:sz w:val="19"/>
              </w:rPr>
              <w:t xml:space="preserve">〔20〕</w:t>
            </w:r>
          </w:p>
        </w:tc>
      </w:tr>
      <w:tr>
        <w:tc>
          <w:tcPr/>
          <w:p>
            <w:pPr>
              <w:pStyle w:val="Compact"/>
              <w:spacing w:after="20" w:line="276" w:lineRule="auto"/>
              <w:jc w:val="left"/>
            </w:pPr>
            <w:r>
              <w:rPr>
                <w:sz w:val="19"/>
              </w:rPr>
              <w:t xml:space="preserve">無人機判釋</w:t>
            </w:r>
          </w:p>
        </w:tc>
        <w:tc>
          <w:tcPr/>
          <w:p>
            <w:pPr>
              <w:pStyle w:val="Compact"/>
              <w:spacing w:after="20" w:line="276" w:lineRule="auto"/>
              <w:jc w:val="left"/>
            </w:pPr>
            <w:r>
              <w:rPr>
                <w:sz w:val="19"/>
              </w:rPr>
              <w:t xml:space="preserve">損失</w:t>
            </w:r>
          </w:p>
        </w:tc>
        <w:tc>
          <w:tcPr/>
          <w:p>
            <w:pPr>
              <w:pStyle w:val="Compact"/>
              <w:spacing w:after="20" w:line="276" w:lineRule="auto"/>
              <w:jc w:val="left"/>
            </w:pPr>
            <w:r>
              <w:rPr>
                <w:sz w:val="19"/>
              </w:rPr>
              <w:t xml:space="preserve">無</w:t>
            </w:r>
          </w:p>
        </w:tc>
        <w:tc>
          <w:tcPr/>
          <w:p>
            <w:pPr>
              <w:pStyle w:val="Compact"/>
              <w:spacing w:after="20" w:line="276" w:lineRule="auto"/>
              <w:jc w:val="left"/>
            </w:pPr>
            <w:r>
              <w:rPr>
                <w:sz w:val="19"/>
              </w:rPr>
              <w:t xml:space="preserve">是</w:t>
            </w:r>
          </w:p>
        </w:tc>
        <w:tc>
          <w:tcPr/>
          <w:p>
            <w:pPr>
              <w:pStyle w:val="Compact"/>
              <w:spacing w:after="20" w:line="276" w:lineRule="auto"/>
              <w:jc w:val="left"/>
            </w:pPr>
            <w:r>
              <w:rPr>
                <w:sz w:val="19"/>
              </w:rPr>
              <w:t xml:space="preserve">補助 2,050 萬元全數未執行</w:t>
            </w:r>
          </w:p>
        </w:tc>
        <w:tc>
          <w:tcPr/>
          <w:p>
            <w:pPr>
              <w:pStyle w:val="Compact"/>
              <w:spacing w:after="20" w:line="276" w:lineRule="auto"/>
              <w:jc w:val="left"/>
            </w:pPr>
            <w:r>
              <w:rPr>
                <w:sz w:val="19"/>
              </w:rPr>
              <w:t xml:space="preserve">〔35〕〔42〕</w:t>
            </w:r>
          </w:p>
        </w:tc>
      </w:tr>
      <w:tr>
        <w:tc>
          <w:tcPr/>
          <w:p>
            <w:pPr>
              <w:pStyle w:val="Compact"/>
              <w:spacing w:after="20" w:line="276" w:lineRule="auto"/>
              <w:jc w:val="left"/>
            </w:pPr>
            <w:r>
              <w:rPr>
                <w:sz w:val="19"/>
              </w:rPr>
              <w:t xml:space="preserve">雲林 NDVI 試算</w:t>
            </w:r>
          </w:p>
        </w:tc>
        <w:tc>
          <w:tcPr/>
          <w:p>
            <w:pPr>
              <w:pStyle w:val="Compact"/>
              <w:spacing w:after="20" w:line="276" w:lineRule="auto"/>
              <w:jc w:val="left"/>
            </w:pPr>
            <w:r>
              <w:rPr>
                <w:sz w:val="19"/>
              </w:rPr>
              <w:t xml:space="preserve">疑似受損範圍</w:t>
            </w:r>
          </w:p>
        </w:tc>
        <w:tc>
          <w:tcPr/>
          <w:p>
            <w:pPr>
              <w:pStyle w:val="Compact"/>
              <w:spacing w:after="20" w:line="276" w:lineRule="auto"/>
              <w:jc w:val="left"/>
            </w:pPr>
            <w:r>
              <w:rPr>
                <w:sz w:val="19"/>
              </w:rPr>
              <w:t xml:space="preserve">部分</w:t>
            </w:r>
          </w:p>
        </w:tc>
        <w:tc>
          <w:tcPr/>
          <w:p>
            <w:pPr>
              <w:pStyle w:val="Compact"/>
              <w:spacing w:after="20" w:line="276" w:lineRule="auto"/>
              <w:jc w:val="left"/>
            </w:pPr>
            <w:r>
              <w:rPr>
                <w:sz w:val="19"/>
              </w:rPr>
              <w:t xml:space="preserve">是</w:t>
            </w:r>
          </w:p>
        </w:tc>
        <w:tc>
          <w:tcPr/>
          <w:p>
            <w:pPr>
              <w:pStyle w:val="Compact"/>
              <w:spacing w:after="20" w:line="276" w:lineRule="auto"/>
              <w:jc w:val="left"/>
            </w:pPr>
            <w:r>
              <w:rPr>
                <w:sz w:val="19"/>
              </w:rPr>
              <w:t xml:space="preserve">只用光學、未綁地號；與核定區重疊約 64%</w:t>
            </w:r>
          </w:p>
        </w:tc>
        <w:tc>
          <w:tcPr/>
          <w:p>
            <w:pPr>
              <w:pStyle w:val="Compact"/>
              <w:spacing w:after="20" w:line="276" w:lineRule="auto"/>
              <w:jc w:val="left"/>
            </w:pPr>
            <w:r>
              <w:rPr>
                <w:sz w:val="19"/>
              </w:rPr>
              <w:t xml:space="preserve">〔4〕</w:t>
            </w:r>
          </w:p>
        </w:tc>
      </w:tr>
      <w:tr>
        <w:tc>
          <w:tcPr/>
          <w:p>
            <w:pPr>
              <w:pStyle w:val="Compact"/>
              <w:spacing w:after="20" w:line="276" w:lineRule="auto"/>
              <w:jc w:val="left"/>
            </w:pPr>
            <w:r>
              <w:rPr>
                <w:sz w:val="19"/>
              </w:rPr>
              <w:t xml:space="preserve">愛爾蘭 AMS／義大利 AGEA</w:t>
            </w:r>
          </w:p>
        </w:tc>
        <w:tc>
          <w:tcPr/>
          <w:p>
            <w:pPr>
              <w:pStyle w:val="Compact"/>
              <w:spacing w:after="20" w:line="276" w:lineRule="auto"/>
              <w:jc w:val="left"/>
            </w:pPr>
            <w:r>
              <w:rPr>
                <w:sz w:val="19"/>
              </w:rPr>
              <w:t xml:space="preserve">是否依申報耕作</w:t>
            </w:r>
          </w:p>
        </w:tc>
        <w:tc>
          <w:tcPr/>
          <w:p>
            <w:pPr>
              <w:pStyle w:val="Compact"/>
              <w:spacing w:after="20" w:line="276" w:lineRule="auto"/>
              <w:jc w:val="left"/>
            </w:pPr>
            <w:r>
              <w:rPr>
                <w:sz w:val="19"/>
              </w:rPr>
              <w:t xml:space="preserve">有</w:t>
            </w:r>
          </w:p>
        </w:tc>
        <w:tc>
          <w:tcPr/>
          <w:p>
            <w:pPr>
              <w:pStyle w:val="Compact"/>
              <w:spacing w:after="20" w:line="276" w:lineRule="auto"/>
              <w:jc w:val="left"/>
            </w:pPr>
            <w:r>
              <w:rPr>
                <w:sz w:val="19"/>
              </w:rPr>
              <w:t xml:space="preserve">紅燈才需</w:t>
            </w:r>
          </w:p>
        </w:tc>
        <w:tc>
          <w:tcPr/>
          <w:p>
            <w:pPr>
              <w:pStyle w:val="Compact"/>
              <w:spacing w:after="20" w:line="276" w:lineRule="auto"/>
              <w:jc w:val="left"/>
            </w:pPr>
            <w:r>
              <w:rPr>
                <w:sz w:val="19"/>
              </w:rPr>
              <w:t xml:space="preserve">事前稽核，不處理災後損失</w:t>
            </w:r>
          </w:p>
        </w:tc>
        <w:tc>
          <w:tcPr/>
          <w:p>
            <w:pPr>
              <w:pStyle w:val="Compact"/>
              <w:spacing w:after="20" w:line="276" w:lineRule="auto"/>
              <w:jc w:val="left"/>
            </w:pPr>
            <w:r>
              <w:rPr>
                <w:sz w:val="19"/>
              </w:rPr>
              <w:t xml:space="preserve">〔27〕〔68〕</w:t>
            </w:r>
          </w:p>
        </w:tc>
      </w:tr>
      <w:tr>
        <w:tc>
          <w:tcPr/>
          <w:p>
            <w:pPr>
              <w:pStyle w:val="Compact"/>
              <w:spacing w:after="20" w:line="276" w:lineRule="auto"/>
              <w:jc w:val="left"/>
            </w:pPr>
            <w:r>
              <w:rPr>
                <w:bCs/>
                <w:b/>
                <w:sz w:val="19"/>
              </w:rPr>
              <w:t xml:space="preserve">天相星</w:t>
            </w:r>
          </w:p>
        </w:tc>
        <w:tc>
          <w:tcPr/>
          <w:p>
            <w:pPr>
              <w:pStyle w:val="Compact"/>
              <w:spacing w:after="20" w:line="276" w:lineRule="auto"/>
              <w:jc w:val="left"/>
            </w:pPr>
            <w:r>
              <w:rPr>
                <w:bCs/>
                <w:b/>
                <w:sz w:val="19"/>
              </w:rPr>
              <w:t xml:space="preserve">種植＋損失</w:t>
            </w:r>
          </w:p>
        </w:tc>
        <w:tc>
          <w:tcPr/>
          <w:p>
            <w:pPr>
              <w:pStyle w:val="Compact"/>
              <w:spacing w:after="20" w:line="276" w:lineRule="auto"/>
              <w:jc w:val="left"/>
            </w:pPr>
            <w:r>
              <w:rPr>
                <w:bCs/>
                <w:b/>
                <w:sz w:val="19"/>
              </w:rPr>
              <w:t xml:space="preserve">有</w:t>
            </w:r>
          </w:p>
        </w:tc>
        <w:tc>
          <w:tcPr/>
          <w:p>
            <w:pPr>
              <w:pStyle w:val="Compact"/>
              <w:spacing w:after="20" w:line="276" w:lineRule="auto"/>
              <w:jc w:val="left"/>
            </w:pPr>
            <w:r>
              <w:rPr>
                <w:bCs/>
                <w:b/>
                <w:sz w:val="19"/>
              </w:rPr>
              <w:t xml:space="preserve">僅 C 級</w:t>
            </w:r>
          </w:p>
        </w:tc>
        <w:tc>
          <w:tcPr/>
          <w:p>
            <w:pPr>
              <w:pStyle w:val="Compact"/>
              <w:spacing w:after="20" w:line="276" w:lineRule="auto"/>
              <w:jc w:val="left"/>
            </w:pPr>
            <w:r>
              <w:rPr>
                <w:sz w:val="19"/>
              </w:rPr>
              <w:t xml:space="preserve">存證效力待公告認可</w:t>
            </w:r>
          </w:p>
        </w:tc>
        <w:tc>
          <w:tcPr/>
          <w:p>
            <w:pPr>
              <w:pStyle w:val="Compact"/>
              <w:spacing w:after="20" w:line="276" w:lineRule="auto"/>
              <w:jc w:val="left"/>
            </w:pPr>
            <w:r>
              <w:rPr>
                <w:sz w:val="19"/>
              </w:rPr>
              <w:t xml:space="preserve">—</w:t>
            </w:r>
          </w:p>
        </w:tc>
      </w:tr>
    </w:tbl>
    <w:p>
      <w:pPr>
        <w:pStyle w:val="BodyText"/>
        <w:jc w:val="both"/>
      </w:pPr>
      <w:r>
        <w:t xml:space="preserve">綜上，現有方案或缺乏災前紀錄，或不處理災後損失；國內衛星試算未綁定地號，魚塭遙測〔64〕〔65〕亦未用於救助。本作品界定的缺口為：</w:t>
      </w:r>
      <w:r>
        <w:rPr>
          <w:bCs/>
          <w:b/>
        </w:rPr>
        <w:t xml:space="preserve">尚無一套為公所勘查流程設計、能持續保存每筆地號災前紀錄、於災後同時提供種植與損失證據並預填申請的工具。</w:t>
      </w:r>
    </w:p>
    <w:bookmarkEnd w:id="40"/>
    <w:bookmarkEnd w:id="41"/>
    <w:bookmarkStart w:id="97" w:name="三創意構想提案內容"/>
    <w:p>
      <w:pPr>
        <w:pStyle w:val="Heading2"/>
      </w:pPr>
      <w:r>
        <w:t xml:space="preserve">三、創意構想提案內容</w:t>
      </w:r>
    </w:p>
    <w:p>
      <w:pPr>
        <w:pStyle w:val="FirstParagraph"/>
        <w:jc w:val="both"/>
      </w:pPr>
      <w:r>
        <w:rPr>
          <w:bCs/>
          <w:b/>
        </w:rPr>
        <w:t xml:space="preserve">天相星在平時建立災前基準，災後以衛星將案件分級，證據明確者改為書面審核，公所現勘集中於需要判斷的案件；判讀方法與法定程序已逐項對照。</w:t>
      </w:r>
    </w:p>
    <w:p>
      <w:pPr>
        <w:pStyle w:val="BodyText"/>
        <w:jc w:val="both"/>
      </w:pPr>
      <w:r>
        <w:t xml:space="preserve">本章說明使用情境與分級規則，論證衛星必要性與概念創新，並從架構、方法、資料取得、模擬驗證與發展路徑分析技術可行性。</w:t>
      </w:r>
    </w:p>
    <w:bookmarkStart w:id="63" w:name="創意構想使用情境"/>
    <w:p>
      <w:pPr>
        <w:pStyle w:val="Heading3"/>
      </w:pPr>
      <w:r>
        <w:t xml:space="preserve">1. 創意構想使用情境</w:t>
      </w:r>
    </w:p>
    <w:p>
      <w:pPr>
        <w:pStyle w:val="FirstParagraph"/>
        <w:jc w:val="both"/>
      </w:pPr>
      <w:r>
        <w:rPr>
          <w:bCs/>
          <w:b/>
        </w:rPr>
        <w:t xml:space="preserve">公所為主要使用者，農民自願參與；系統提供排序與存證，最終認定由公所做出。</w:t>
      </w:r>
    </w:p>
    <w:p>
      <w:pPr>
        <w:pStyle w:val="BodyText"/>
        <w:keepNext/>
        <w:spacing w:before="160"/>
        <w:jc w:val="both"/>
      </w:pPr>
      <w:r>
        <w:rPr>
          <w:bCs/>
          <w:rFonts w:ascii="Times New Roman" w:hAnsi="Times New Roman" w:eastAsia="微軟正黑體"/>
          <w:b/>
          <w:color w:val="14213D"/>
        </w:rPr>
        <w:t xml:space="preserve">(1) 目標使用對象與場域</w:t>
      </w:r>
    </w:p>
    <w:p>
      <w:pPr>
        <w:pStyle w:val="BodyText"/>
        <w:jc w:val="both"/>
      </w:pPr>
      <w:r>
        <w:rPr>
          <w:bCs/>
          <w:b/>
        </w:rPr>
        <w:t xml:space="preserve">主要使用者為全國 368 個公所農業課，場域以颱風常襲的偏鄉農區與沿海魚塭為主。</w:t>
      </w:r>
    </w:p>
    <w:p>
      <w:pPr>
        <w:pStyle w:val="BodyText"/>
        <w:jc w:val="both"/>
      </w:pPr>
      <w:r>
        <w:t xml:space="preserve">主要使用者為全國 368 個鄉鎮市區公所農業課承辦人員；次要使用者為農民與養殖戶（手機 App、簡訊或由農會協助）及縣市政府農業處；延伸使用者為防檢單位、農會與產險公司。農民登錄採自願原則，未登錄者仍依現行程序申請。場域以颱風常襲的偏鄉農區為主，優先為雲林、嘉義、屏東、臺南、高雄、臺東、南投〔6〕〔14〕〔15〕；概念驗證選定丹娜絲登陸的嘉義竹崎、中埔與臺南沿海魚塭。</w:t>
      </w:r>
    </w:p>
    <w:p>
      <w:pPr>
        <w:pStyle w:val="BodyText"/>
        <w:keepNext/>
        <w:spacing w:before="160"/>
        <w:jc w:val="both"/>
      </w:pPr>
      <w:r>
        <w:rPr>
          <w:bCs/>
          <w:rFonts w:ascii="Times New Roman" w:hAnsi="Times New Roman" w:eastAsia="微軟正黑體"/>
          <w:b/>
          <w:color w:val="14213D"/>
        </w:rPr>
        <w:t xml:space="preserve">(2) 兩端運作流程</w:t>
      </w:r>
    </w:p>
    <w:p>
      <w:pPr>
        <w:pStyle w:val="BodyText"/>
        <w:jc w:val="both"/>
      </w:pPr>
      <w:r>
        <w:rPr>
          <w:bCs/>
          <w:b/>
        </w:rPr>
        <w:t xml:space="preserve">災前基準於平時由公所確認一次；災後依法定期限進行，雷達影像到站後 8 小時內完成分級。</w:t>
      </w:r>
    </w:p>
    <w:p>
      <w:pPr>
        <w:pStyle w:val="BodyText"/>
        <w:jc w:val="both"/>
      </w:pPr>
      <w:r>
        <w:t xml:space="preserve">本作品貫穿平時與災後（圖 7）。平時，農民五步登錄，公所於每年 1 月綠色環境給付申報期一併確認範圍並鎖定為「災前基準」；系統持續累積坵塊時序。災後依法定期限推進：警報時鎖定災前影像並排定取像，C 級清單預先下載至公所手機以因應斷網；雷達到站 8 小時內完成分級；公告後預填申請表，農民以 QR 碼送件，公所掃碼即可調閱；勘查期 A 級書面審核、C 級現勘；現勘結果回填，作為下次訓練資料。</w:t>
      </w:r>
    </w:p>
    <w:p>
      <w:pPr>
        <w:pStyle w:val="BodyText"/>
        <w:keepNext/>
        <w:jc w:val="center"/>
      </w:pPr>
      <w:r>
        <w:drawing>
          <wp:inline>
            <wp:extent cx="5334000" cy="1273106"/>
            <wp:effectExtent b="0" l="0" r="0" t="0"/>
            <wp:docPr descr="" title="" id="43" name="Picture"/>
            <a:graphic>
              <a:graphicData uri="http://schemas.openxmlformats.org/drawingml/2006/picture">
                <pic:pic>
                  <pic:nvPicPr>
                    <pic:cNvPr descr="charts/n3_swimlane.png" id="44" name="Picture"/>
                    <pic:cNvPicPr>
                      <a:picLocks noChangeArrowheads="1" noChangeAspect="1"/>
                    </pic:cNvPicPr>
                  </pic:nvPicPr>
                  <pic:blipFill>
                    <a:blip r:embed="rId42"/>
                    <a:stretch>
                      <a:fillRect/>
                    </a:stretch>
                  </pic:blipFill>
                  <pic:spPr bwMode="auto">
                    <a:xfrm>
                      <a:off x="0" y="0"/>
                      <a:ext cx="5334000" cy="1273106"/>
                    </a:xfrm>
                    <a:prstGeom prst="rect">
                      <a:avLst/>
                    </a:prstGeom>
                    <a:noFill/>
                    <a:ln w="9525">
                      <a:noFill/>
                      <a:headEnd/>
                      <a:tailEnd/>
                    </a:ln>
                  </pic:spPr>
                </pic:pic>
              </a:graphicData>
            </a:graphic>
          </wp:inline>
        </w:drawing>
      </w:r>
    </w:p>
    <w:p>
      <w:pPr>
        <w:pStyle w:val="BodyText"/>
        <w:spacing w:after="200"/>
        <w:jc w:val="both"/>
      </w:pPr>
      <w:r>
        <w:rPr>
          <w:bCs/>
          <w:b/>
          <w:sz w:val="19"/>
        </w:rPr>
        <w:t xml:space="preserve">圖 7　農民、天相星與公所三方的運作流程。</w:t>
      </w:r>
      <w:r>
        <w:rPr>
          <w:sz w:val="19"/>
        </w:rPr>
        <w:t xml:space="preserve"> </w:t>
      </w:r>
      <w:r>
        <w:rPr>
          <w:sz w:val="19"/>
        </w:rPr>
        <w:t xml:space="preserve">虛線表示跨角色的資料傳遞。</w:t>
      </w:r>
    </w:p>
    <w:p>
      <w:pPr>
        <w:pStyle w:val="BodyText"/>
        <w:keepNext/>
        <w:spacing w:before="160"/>
        <w:jc w:val="both"/>
      </w:pPr>
      <w:r>
        <w:rPr>
          <w:bCs/>
          <w:rFonts w:ascii="Times New Roman" w:hAnsi="Times New Roman" w:eastAsia="微軟正黑體"/>
          <w:b/>
          <w:color w:val="14213D"/>
        </w:rPr>
        <w:t xml:space="preserve">(3) 分級規則</w:t>
      </w:r>
    </w:p>
    <w:p>
      <w:pPr>
        <w:pStyle w:val="BodyText"/>
        <w:jc w:val="both"/>
      </w:pPr>
      <w:r>
        <w:rPr>
          <w:bCs/>
          <w:b/>
        </w:rPr>
        <w:t xml:space="preserve">災前在生產且損失區間下限達 40% 者判 A，其餘不確定的案件列 C，以降低誤判受損的風險。</w:t>
      </w:r>
    </w:p>
    <w:p>
      <w:pPr>
        <w:pStyle w:val="BodyText"/>
        <w:jc w:val="both"/>
      </w:pPr>
      <w:r>
        <w:t xml:space="preserve">本作品將勘查拆解為兩個衛星可回答的問題：</w:t>
      </w:r>
      <w:r>
        <w:rPr>
          <w:bCs/>
          <w:b/>
        </w:rPr>
        <w:t xml:space="preserve">災前是否在生產</w:t>
      </w:r>
      <w:r>
        <w:t xml:space="preserve">（災前 6 個月時序與作物判釋，綁定坵塊；具公所確認之災前基準者為強證據），以及</w:t>
      </w:r>
      <w:r>
        <w:rPr>
          <w:bCs/>
          <w:b/>
        </w:rPr>
        <w:t xml:space="preserve">損失是否達 20%</w:t>
      </w:r>
      <w:r>
        <w:t xml:space="preserve">（以第 10、50、90 百分位的損失區間表示）。案件依表 3 分為三級，並須通過三道關卡（圖 8）：影像信心、遠離門檻、與申報一致；任一關未通過即列 C 並附原因碼。10%／40% 為起始值，將以災例與現勘結果校正。設計刻意保守，寧可多列 C 級，以降低誤判受損的風險。農民端不顯示代號，而以「受損明顯」「未見明顯受損」「需公所到場確認」等白話呈現，並註明以公所認定為準。</w:t>
      </w:r>
    </w:p>
    <w:p>
      <w:pPr>
        <w:pStyle w:val="BodyText"/>
        <w:keepNext/>
        <w:spacing w:before="160"/>
        <w:jc w:val="both"/>
      </w:pPr>
      <w:r>
        <w:rPr>
          <w:bCs/>
          <w:rFonts w:ascii="Times New Roman" w:hAnsi="Times New Roman" w:eastAsia="微軟正黑體"/>
          <w:b/>
          <w:sz w:val="20"/>
        </w:rPr>
        <w:t xml:space="preserve">表 3　A／B／C 分級條件</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2640"/>
        <w:gridCol w:w="2640"/>
        <w:gridCol w:w="2640"/>
      </w:tblGrid>
      <w:tr>
        <w:trPr>
          <w:tblHeader w:val="true"/>
        </w:trPr>
        <w:tc>
          <w:tcPr>
            <w:shd w:val="clear" w:color="auto" w:fill="E8EDF6"/>
          </w:tcPr>
          <w:p>
            <w:pPr>
              <w:pStyle w:val="Compact"/>
              <w:spacing w:after="20" w:line="276" w:lineRule="auto"/>
              <w:jc w:val="left"/>
            </w:pPr>
            <w:r>
              <w:rPr>
                <w:b/>
                <w:sz w:val="19"/>
              </w:rPr>
              <w:t xml:space="preserve">分級</w:t>
            </w:r>
          </w:p>
        </w:tc>
        <w:tc>
          <w:tcPr>
            <w:shd w:val="clear" w:color="auto" w:fill="E8EDF6"/>
          </w:tcPr>
          <w:p>
            <w:pPr>
              <w:pStyle w:val="Compact"/>
              <w:spacing w:after="20" w:line="276" w:lineRule="auto"/>
              <w:jc w:val="left"/>
            </w:pPr>
            <w:r>
              <w:rPr>
                <w:b/>
                <w:sz w:val="19"/>
              </w:rPr>
              <w:t xml:space="preserve">判定條件</w:t>
            </w:r>
          </w:p>
        </w:tc>
        <w:tc>
          <w:tcPr>
            <w:shd w:val="clear" w:color="auto" w:fill="E8EDF6"/>
          </w:tcPr>
          <w:p>
            <w:pPr>
              <w:pStyle w:val="Compact"/>
              <w:spacing w:after="20" w:line="276" w:lineRule="auto"/>
              <w:jc w:val="left"/>
            </w:pPr>
            <w:r>
              <w:rPr>
                <w:b/>
                <w:sz w:val="19"/>
              </w:rPr>
              <w:t xml:space="preserve">公所處理</w:t>
            </w:r>
          </w:p>
        </w:tc>
      </w:tr>
      <w:tr>
        <w:tc>
          <w:tcPr/>
          <w:p>
            <w:pPr>
              <w:pStyle w:val="Compact"/>
              <w:spacing w:after="20" w:line="276" w:lineRule="auto"/>
              <w:jc w:val="left"/>
            </w:pPr>
            <w:r>
              <w:rPr>
                <w:sz w:val="19"/>
              </w:rPr>
              <w:t xml:space="preserve">A 受損已確認</w:t>
            </w:r>
          </w:p>
        </w:tc>
        <w:tc>
          <w:tcPr/>
          <w:p>
            <w:pPr>
              <w:pStyle w:val="Compact"/>
              <w:spacing w:after="20" w:line="276" w:lineRule="auto"/>
              <w:jc w:val="left"/>
            </w:pPr>
            <w:r>
              <w:rPr>
                <w:sz w:val="19"/>
              </w:rPr>
              <w:t xml:space="preserve">災前在生產、三關皆通過，且區間下限 ≥ 40%</w:t>
            </w:r>
          </w:p>
        </w:tc>
        <w:tc>
          <w:tcPr/>
          <w:p>
            <w:pPr>
              <w:pStyle w:val="Compact"/>
              <w:spacing w:after="20" w:line="276" w:lineRule="auto"/>
              <w:jc w:val="left"/>
            </w:pPr>
            <w:r>
              <w:rPr>
                <w:sz w:val="19"/>
              </w:rPr>
              <w:t xml:space="preserve">存證報告書面審核；照常列入法定抽查母體</w:t>
            </w:r>
          </w:p>
        </w:tc>
      </w:tr>
      <w:tr>
        <w:tc>
          <w:tcPr/>
          <w:p>
            <w:pPr>
              <w:pStyle w:val="Compact"/>
              <w:spacing w:after="20" w:line="276" w:lineRule="auto"/>
              <w:jc w:val="left"/>
            </w:pPr>
            <w:r>
              <w:rPr>
                <w:sz w:val="19"/>
              </w:rPr>
              <w:t xml:space="preserve">B 未見明顯受損</w:t>
            </w:r>
          </w:p>
        </w:tc>
        <w:tc>
          <w:tcPr/>
          <w:p>
            <w:pPr>
              <w:pStyle w:val="Compact"/>
              <w:spacing w:after="20" w:line="276" w:lineRule="auto"/>
              <w:jc w:val="left"/>
            </w:pPr>
            <w:r>
              <w:rPr>
                <w:bCs/>
                <w:b/>
                <w:sz w:val="19"/>
              </w:rPr>
              <w:t xml:space="preserve">農民未申請</w:t>
            </w:r>
            <w:r>
              <w:rPr>
                <w:sz w:val="19"/>
              </w:rPr>
              <w:t xml:space="preserve">，且區間上限 ≤ 10%、影像無變化</w:t>
            </w:r>
          </w:p>
        </w:tc>
        <w:tc>
          <w:tcPr/>
          <w:p>
            <w:pPr>
              <w:pStyle w:val="Compact"/>
              <w:spacing w:after="20" w:line="276" w:lineRule="auto"/>
              <w:jc w:val="left"/>
            </w:pPr>
            <w:r>
              <w:rPr>
                <w:sz w:val="19"/>
              </w:rPr>
              <w:t xml:space="preserve">不派人</w:t>
            </w:r>
          </w:p>
        </w:tc>
      </w:tr>
      <w:tr>
        <w:tc>
          <w:tcPr/>
          <w:p>
            <w:pPr>
              <w:pStyle w:val="Compact"/>
              <w:spacing w:after="20" w:line="276" w:lineRule="auto"/>
              <w:jc w:val="left"/>
            </w:pPr>
            <w:r>
              <w:rPr>
                <w:sz w:val="19"/>
              </w:rPr>
              <w:t xml:space="preserve">C 需到場確認</w:t>
            </w:r>
          </w:p>
        </w:tc>
        <w:tc>
          <w:tcPr/>
          <w:p>
            <w:pPr>
              <w:pStyle w:val="Compact"/>
              <w:spacing w:after="20" w:line="276" w:lineRule="auto"/>
              <w:jc w:val="left"/>
            </w:pPr>
            <w:r>
              <w:rPr>
                <w:sz w:val="19"/>
              </w:rPr>
              <w:t xml:space="preserve">其餘全部，含「有申請而衛星未見變化」</w:t>
            </w:r>
          </w:p>
        </w:tc>
        <w:tc>
          <w:tcPr/>
          <w:p>
            <w:pPr>
              <w:pStyle w:val="Compact"/>
              <w:spacing w:after="20" w:line="276" w:lineRule="auto"/>
              <w:jc w:val="left"/>
            </w:pPr>
            <w:r>
              <w:rPr>
                <w:sz w:val="19"/>
              </w:rPr>
              <w:t xml:space="preserve">依原因碼與優先度排入勘查清單</w:t>
            </w:r>
          </w:p>
        </w:tc>
      </w:tr>
    </w:tbl>
    <w:p>
      <w:pPr>
        <w:pStyle w:val="BodyText"/>
        <w:keepNext/>
        <w:jc w:val="center"/>
      </w:pPr>
      <w:r>
        <w:drawing>
          <wp:inline>
            <wp:extent cx="4693920" cy="1946259"/>
            <wp:effectExtent b="0" l="0" r="0" t="0"/>
            <wp:docPr descr="" title="" id="46" name="Picture"/>
            <a:graphic>
              <a:graphicData uri="http://schemas.openxmlformats.org/drawingml/2006/picture">
                <pic:pic>
                  <pic:nvPicPr>
                    <pic:cNvPr descr="charts/t2_gates.png" id="47" name="Picture"/>
                    <pic:cNvPicPr>
                      <a:picLocks noChangeArrowheads="1" noChangeAspect="1"/>
                    </pic:cNvPicPr>
                  </pic:nvPicPr>
                  <pic:blipFill>
                    <a:blip r:embed="rId45"/>
                    <a:stretch>
                      <a:fillRect/>
                    </a:stretch>
                  </pic:blipFill>
                  <pic:spPr bwMode="auto">
                    <a:xfrm>
                      <a:off x="0" y="0"/>
                      <a:ext cx="4693920" cy="1946259"/>
                    </a:xfrm>
                    <a:prstGeom prst="rect">
                      <a:avLst/>
                    </a:prstGeom>
                    <a:noFill/>
                    <a:ln w="9525">
                      <a:noFill/>
                      <a:headEnd/>
                      <a:tailEnd/>
                    </a:ln>
                  </pic:spPr>
                </pic:pic>
              </a:graphicData>
            </a:graphic>
          </wp:inline>
        </w:drawing>
      </w:r>
    </w:p>
    <w:p>
      <w:pPr>
        <w:pStyle w:val="BodyText"/>
        <w:spacing w:after="200"/>
        <w:jc w:val="both"/>
      </w:pPr>
      <w:r>
        <w:rPr>
          <w:bCs/>
          <w:b/>
          <w:sz w:val="19"/>
        </w:rPr>
        <w:t xml:space="preserve">圖 8　三道關卡分級流程。</w:t>
      </w:r>
      <w:r>
        <w:rPr>
          <w:sz w:val="19"/>
        </w:rPr>
        <w:t xml:space="preserve"> </w:t>
      </w:r>
      <w:r>
        <w:rPr>
          <w:sz w:val="19"/>
        </w:rPr>
        <w:t xml:space="preserve">任一關卡未通過即列 C，並列明需要確認的原因。</w:t>
      </w:r>
    </w:p>
    <w:p>
      <w:pPr>
        <w:pStyle w:val="BodyText"/>
        <w:jc w:val="both"/>
      </w:pPr>
      <w:r>
        <w:t xml:space="preserve">三道關卡中的「與申報一致」以五項申請交叉檢核規則（R1–R5）執行（表 4）。各項分別記錄「一致、待補件、待確認」及證據來源，與 A／B／C 分級並列；差異由承辦人員確認並留存原因碼，處理結果回寫同一案件〔132〕。</w:t>
      </w:r>
    </w:p>
    <w:p>
      <w:pPr>
        <w:pStyle w:val="BodyText"/>
        <w:keepNext/>
        <w:spacing w:before="160"/>
        <w:jc w:val="both"/>
      </w:pPr>
      <w:r>
        <w:rPr>
          <w:bCs/>
          <w:rFonts w:ascii="Times New Roman" w:hAnsi="Times New Roman" w:eastAsia="微軟正黑體"/>
          <w:b/>
          <w:sz w:val="20"/>
        </w:rPr>
        <w:t xml:space="preserve">表 4　申請交叉檢核規則（R1–R5）</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2640"/>
        <w:gridCol w:w="2640"/>
        <w:gridCol w:w="2640"/>
      </w:tblGrid>
      <w:tr>
        <w:trPr>
          <w:tblHeader w:val="true"/>
        </w:trPr>
        <w:tc>
          <w:tcPr>
            <w:shd w:val="clear" w:color="auto" w:fill="E8EDF6"/>
          </w:tcPr>
          <w:p>
            <w:pPr>
              <w:pStyle w:val="Compact"/>
              <w:spacing w:after="20" w:line="276" w:lineRule="auto"/>
              <w:jc w:val="left"/>
            </w:pPr>
            <w:r>
              <w:rPr>
                <w:b/>
                <w:sz w:val="19"/>
              </w:rPr>
              <w:t xml:space="preserve">規則</w:t>
            </w:r>
          </w:p>
        </w:tc>
        <w:tc>
          <w:tcPr>
            <w:shd w:val="clear" w:color="auto" w:fill="E8EDF6"/>
          </w:tcPr>
          <w:p>
            <w:pPr>
              <w:pStyle w:val="Compact"/>
              <w:spacing w:after="20" w:line="276" w:lineRule="auto"/>
              <w:jc w:val="left"/>
            </w:pPr>
            <w:r>
              <w:rPr>
                <w:b/>
                <w:sz w:val="19"/>
              </w:rPr>
              <w:t xml:space="preserve">比對欄位</w:t>
            </w:r>
          </w:p>
        </w:tc>
        <w:tc>
          <w:tcPr>
            <w:shd w:val="clear" w:color="auto" w:fill="E8EDF6"/>
          </w:tcPr>
          <w:p>
            <w:pPr>
              <w:pStyle w:val="Compact"/>
              <w:spacing w:after="20" w:line="276" w:lineRule="auto"/>
              <w:jc w:val="left"/>
            </w:pPr>
            <w:r>
              <w:rPr>
                <w:b/>
                <w:sz w:val="19"/>
              </w:rPr>
              <w:t xml:space="preserve">承辦處理</w:t>
            </w:r>
          </w:p>
        </w:tc>
      </w:tr>
      <w:tr>
        <w:tc>
          <w:tcPr/>
          <w:p>
            <w:pPr>
              <w:pStyle w:val="Compact"/>
              <w:spacing w:after="20" w:line="276" w:lineRule="auto"/>
              <w:jc w:val="left"/>
            </w:pPr>
            <w:r>
              <w:rPr>
                <w:sz w:val="19"/>
              </w:rPr>
              <w:t xml:space="preserve">R1 地號與範圍</w:t>
            </w:r>
          </w:p>
        </w:tc>
        <w:tc>
          <w:tcPr/>
          <w:p>
            <w:pPr>
              <w:pStyle w:val="Compact"/>
              <w:spacing w:after="20" w:line="276" w:lineRule="auto"/>
              <w:jc w:val="left"/>
            </w:pPr>
            <w:r>
              <w:rPr>
                <w:sz w:val="19"/>
              </w:rPr>
              <w:t xml:space="preserve">縣市、段小段、地號、坵塊及公告區域</w:t>
            </w:r>
          </w:p>
        </w:tc>
        <w:tc>
          <w:tcPr/>
          <w:p>
            <w:pPr>
              <w:pStyle w:val="Compact"/>
              <w:spacing w:after="20" w:line="276" w:lineRule="auto"/>
              <w:jc w:val="left"/>
            </w:pPr>
            <w:r>
              <w:rPr>
                <w:sz w:val="19"/>
              </w:rPr>
              <w:t xml:space="preserve">比對地籍版本與實際耕作範圍；差異列待確認</w:t>
            </w:r>
          </w:p>
        </w:tc>
      </w:tr>
      <w:tr>
        <w:tc>
          <w:tcPr/>
          <w:p>
            <w:pPr>
              <w:pStyle w:val="Compact"/>
              <w:spacing w:after="20" w:line="276" w:lineRule="auto"/>
              <w:jc w:val="left"/>
            </w:pPr>
            <w:r>
              <w:rPr>
                <w:sz w:val="19"/>
              </w:rPr>
              <w:t xml:space="preserve">R2 作物一致性</w:t>
            </w:r>
          </w:p>
        </w:tc>
        <w:tc>
          <w:tcPr/>
          <w:p>
            <w:pPr>
              <w:pStyle w:val="Compact"/>
              <w:spacing w:after="20" w:line="276" w:lineRule="auto"/>
              <w:jc w:val="left"/>
            </w:pPr>
            <w:r>
              <w:rPr>
                <w:sz w:val="19"/>
              </w:rPr>
              <w:t xml:space="preserve">申報作物、登記作物、衛星物候及播種日期</w:t>
            </w:r>
          </w:p>
        </w:tc>
        <w:tc>
          <w:tcPr/>
          <w:p>
            <w:pPr>
              <w:pStyle w:val="Compact"/>
              <w:spacing w:after="20" w:line="276" w:lineRule="auto"/>
              <w:jc w:val="left"/>
            </w:pPr>
            <w:r>
              <w:rPr>
                <w:sz w:val="19"/>
              </w:rPr>
              <w:t xml:space="preserve">改種、未登記或模型低信心時，先補紀錄或現地照片</w:t>
            </w:r>
          </w:p>
        </w:tc>
      </w:tr>
      <w:tr>
        <w:tc>
          <w:tcPr/>
          <w:p>
            <w:pPr>
              <w:pStyle w:val="Compact"/>
              <w:spacing w:after="20" w:line="276" w:lineRule="auto"/>
              <w:jc w:val="left"/>
            </w:pPr>
            <w:r>
              <w:rPr>
                <w:sz w:val="19"/>
              </w:rPr>
              <w:t xml:space="preserve">R3 面積與損失</w:t>
            </w:r>
          </w:p>
        </w:tc>
        <w:tc>
          <w:tcPr/>
          <w:p>
            <w:pPr>
              <w:pStyle w:val="Compact"/>
              <w:spacing w:after="20" w:line="276" w:lineRule="auto"/>
              <w:jc w:val="left"/>
            </w:pPr>
            <w:r>
              <w:rPr>
                <w:sz w:val="19"/>
              </w:rPr>
              <w:t xml:space="preserve">申報面積、使用範圍、受影響面積及損失區間</w:t>
            </w:r>
          </w:p>
        </w:tc>
        <w:tc>
          <w:tcPr/>
          <w:p>
            <w:pPr>
              <w:pStyle w:val="Compact"/>
              <w:spacing w:after="20" w:line="276" w:lineRule="auto"/>
              <w:jc w:val="left"/>
            </w:pPr>
            <w:r>
              <w:rPr>
                <w:sz w:val="19"/>
              </w:rPr>
              <w:t xml:space="preserve">扣除農路、水塘與重疊；分列受影響面積及作物損失率</w:t>
            </w:r>
          </w:p>
        </w:tc>
      </w:tr>
      <w:tr>
        <w:tc>
          <w:tcPr/>
          <w:p>
            <w:pPr>
              <w:pStyle w:val="Compact"/>
              <w:spacing w:after="20" w:line="276" w:lineRule="auto"/>
              <w:jc w:val="left"/>
            </w:pPr>
            <w:r>
              <w:rPr>
                <w:sz w:val="19"/>
              </w:rPr>
              <w:t xml:space="preserve">R4 實際經營人</w:t>
            </w:r>
          </w:p>
        </w:tc>
        <w:tc>
          <w:tcPr/>
          <w:p>
            <w:pPr>
              <w:pStyle w:val="Compact"/>
              <w:spacing w:after="20" w:line="276" w:lineRule="auto"/>
              <w:jc w:val="left"/>
            </w:pPr>
            <w:r>
              <w:rPr>
                <w:sz w:val="19"/>
              </w:rPr>
              <w:t xml:space="preserve">申請人、地主、租約或使用同意書有效期間</w:t>
            </w:r>
          </w:p>
        </w:tc>
        <w:tc>
          <w:tcPr/>
          <w:p>
            <w:pPr>
              <w:pStyle w:val="Compact"/>
              <w:spacing w:after="20" w:line="276" w:lineRule="auto"/>
              <w:jc w:val="left"/>
            </w:pPr>
            <w:r>
              <w:rPr>
                <w:sz w:val="19"/>
              </w:rPr>
              <w:t xml:space="preserve">由公所核對合法使用與實際經營；分析端僅使用代碼</w:t>
            </w:r>
          </w:p>
        </w:tc>
      </w:tr>
      <w:tr>
        <w:tc>
          <w:tcPr/>
          <w:p>
            <w:pPr>
              <w:pStyle w:val="Compact"/>
              <w:spacing w:after="20" w:line="276" w:lineRule="auto"/>
              <w:jc w:val="left"/>
            </w:pPr>
            <w:r>
              <w:rPr>
                <w:sz w:val="19"/>
              </w:rPr>
              <w:t xml:space="preserve">R5 重複與歷次案件</w:t>
            </w:r>
          </w:p>
        </w:tc>
        <w:tc>
          <w:tcPr/>
          <w:p>
            <w:pPr>
              <w:pStyle w:val="Compact"/>
              <w:spacing w:after="20" w:line="276" w:lineRule="auto"/>
              <w:jc w:val="left"/>
            </w:pPr>
            <w:r>
              <w:rPr>
                <w:sz w:val="19"/>
              </w:rPr>
              <w:t xml:space="preserve">同災害、期作、地號、作物、申請人與空間交集</w:t>
            </w:r>
          </w:p>
        </w:tc>
        <w:tc>
          <w:tcPr/>
          <w:p>
            <w:pPr>
              <w:pStyle w:val="Compact"/>
              <w:spacing w:after="20" w:line="276" w:lineRule="auto"/>
              <w:jc w:val="left"/>
            </w:pPr>
            <w:r>
              <w:rPr>
                <w:sz w:val="19"/>
              </w:rPr>
              <w:t xml:space="preserve">提示重複送件；依法合併連續災害或保留不同救助項目</w:t>
            </w:r>
          </w:p>
        </w:tc>
      </w:tr>
    </w:tbl>
    <w:p>
      <w:pPr>
        <w:pStyle w:val="BodyText"/>
        <w:keepNext/>
        <w:spacing w:before="160"/>
        <w:jc w:val="both"/>
      </w:pPr>
      <w:r>
        <w:rPr>
          <w:bCs/>
          <w:rFonts w:ascii="Times New Roman" w:hAnsi="Times New Roman" w:eastAsia="微軟正黑體"/>
          <w:b/>
          <w:color w:val="14213D"/>
        </w:rPr>
        <w:t xml:space="preserve">(4) 介面設計</w:t>
      </w:r>
    </w:p>
    <w:p>
      <w:pPr>
        <w:pStyle w:val="BodyText"/>
        <w:jc w:val="both"/>
      </w:pPr>
      <w:r>
        <w:rPr>
          <w:bCs/>
          <w:b/>
        </w:rPr>
        <w:t xml:space="preserve">兩端介面的每一步對應現行法定文件，並標示初步判讀不等於核定結果。</w:t>
      </w:r>
    </w:p>
    <w:p>
      <w:pPr>
        <w:pStyle w:val="BodyText"/>
        <w:jc w:val="both"/>
      </w:pPr>
      <w:r>
        <w:t xml:space="preserve">兩端介面已完成可互動原型。農民端分為平時登錄與災後申請兩段流程（圖 9），公所端依「災前範圍確認、災後總覽、受理與 R1–R5 檢核、依公告與證據判斷」的順序處理案件（圖 10）；圖 11、圖 12 為其中三個主要畫面。設計遵循三項原則：每一步對應現行法定程序與文件，不另創格式；明示系統輸出的效力界線；考量高齡使用者，採大字級、大按鈕與白話用語，並提供簡訊版與農會協助。農民端登錄重在「證明實際耕作」而非所有權：系統讀出謄本的地號與「本筆面積 × 持分」作為申報上限，扣除農路水塘後計算種植範圍，且不保存帳號。公所端依法定期限排列工作，並在受理畫面標示存證報告目前為「影像存證參考，尚非種植客觀證明文件」；異常排序僅供縣府抽查參考，不取代救助系統的隨機抽選。</w:t>
      </w:r>
    </w:p>
    <w:p>
      <w:pPr>
        <w:pStyle w:val="BodyText"/>
        <w:keepNext/>
        <w:jc w:val="center"/>
      </w:pPr>
      <w:r>
        <w:drawing>
          <wp:inline>
            <wp:extent cx="4587240" cy="1374090"/>
            <wp:effectExtent b="0" l="0" r="0" t="0"/>
            <wp:docPr descr="" title="" id="49" name="Picture"/>
            <a:graphic>
              <a:graphicData uri="http://schemas.openxmlformats.org/drawingml/2006/picture">
                <pic:pic>
                  <pic:nvPicPr>
                    <pic:cNvPr descr="charts/t3_farmer_pre.png" id="50" name="Picture"/>
                    <pic:cNvPicPr>
                      <a:picLocks noChangeArrowheads="1" noChangeAspect="1"/>
                    </pic:cNvPicPr>
                  </pic:nvPicPr>
                  <pic:blipFill>
                    <a:blip r:embed="rId48"/>
                    <a:stretch>
                      <a:fillRect/>
                    </a:stretch>
                  </pic:blipFill>
                  <pic:spPr bwMode="auto">
                    <a:xfrm>
                      <a:off x="0" y="0"/>
                      <a:ext cx="4587240" cy="1374090"/>
                    </a:xfrm>
                    <a:prstGeom prst="rect">
                      <a:avLst/>
                    </a:prstGeom>
                    <a:noFill/>
                    <a:ln w="9525">
                      <a:noFill/>
                      <a:headEnd/>
                      <a:tailEnd/>
                    </a:ln>
                  </pic:spPr>
                </pic:pic>
              </a:graphicData>
            </a:graphic>
          </wp:inline>
        </w:drawing>
      </w:r>
    </w:p>
    <w:p>
      <w:pPr>
        <w:pStyle w:val="BodyText"/>
        <w:keepNext/>
        <w:jc w:val="center"/>
      </w:pPr>
      <w:r>
        <w:drawing>
          <wp:inline>
            <wp:extent cx="4587240" cy="1304691"/>
            <wp:effectExtent b="0" l="0" r="0" t="0"/>
            <wp:docPr descr="" title="" id="52" name="Picture"/>
            <a:graphic>
              <a:graphicData uri="http://schemas.openxmlformats.org/drawingml/2006/picture">
                <pic:pic>
                  <pic:nvPicPr>
                    <pic:cNvPr descr="charts/t4_farmer_post.png" id="53" name="Picture"/>
                    <pic:cNvPicPr>
                      <a:picLocks noChangeArrowheads="1" noChangeAspect="1"/>
                    </pic:cNvPicPr>
                  </pic:nvPicPr>
                  <pic:blipFill>
                    <a:blip r:embed="rId51"/>
                    <a:stretch>
                      <a:fillRect/>
                    </a:stretch>
                  </pic:blipFill>
                  <pic:spPr bwMode="auto">
                    <a:xfrm>
                      <a:off x="0" y="0"/>
                      <a:ext cx="4587240" cy="1304691"/>
                    </a:xfrm>
                    <a:prstGeom prst="rect">
                      <a:avLst/>
                    </a:prstGeom>
                    <a:noFill/>
                    <a:ln w="9525">
                      <a:noFill/>
                      <a:headEnd/>
                      <a:tailEnd/>
                    </a:ln>
                  </pic:spPr>
                </pic:pic>
              </a:graphicData>
            </a:graphic>
          </wp:inline>
        </w:drawing>
      </w:r>
    </w:p>
    <w:p>
      <w:pPr>
        <w:pStyle w:val="BodyText"/>
        <w:spacing w:after="200"/>
        <w:jc w:val="both"/>
      </w:pPr>
      <w:r>
        <w:rPr>
          <w:bCs/>
          <w:b/>
          <w:sz w:val="19"/>
        </w:rPr>
        <w:t xml:space="preserve">圖 9　農民端操作流程。</w:t>
      </w:r>
      <w:r>
        <w:rPr>
          <w:sz w:val="19"/>
        </w:rPr>
        <w:t xml:space="preserve"> </w:t>
      </w:r>
      <w:r>
        <w:rPr>
          <w:sz w:val="19"/>
        </w:rPr>
        <w:t xml:space="preserve">上：平時登錄，送交公所確認後建立災前基準，資料有差異時沿原田區補件；下：災後申請，附件缺漏時補齊後沿原案送件，核定後可辦理復查、更正增撥或申請低利貸款受災證明。</w:t>
      </w:r>
    </w:p>
    <w:p>
      <w:pPr>
        <w:pStyle w:val="BodyText"/>
        <w:keepNext/>
        <w:jc w:val="center"/>
      </w:pPr>
      <w:r>
        <w:drawing>
          <wp:inline>
            <wp:extent cx="3947160" cy="2110924"/>
            <wp:effectExtent b="0" l="0" r="0" t="0"/>
            <wp:docPr descr="" title="" id="55" name="Picture"/>
            <a:graphic>
              <a:graphicData uri="http://schemas.openxmlformats.org/drawingml/2006/picture">
                <pic:pic>
                  <pic:nvPicPr>
                    <pic:cNvPr descr="charts/t5_office_flow.png" id="56" name="Picture"/>
                    <pic:cNvPicPr>
                      <a:picLocks noChangeArrowheads="1" noChangeAspect="1"/>
                    </pic:cNvPicPr>
                  </pic:nvPicPr>
                  <pic:blipFill>
                    <a:blip r:embed="rId54"/>
                    <a:stretch>
                      <a:fillRect/>
                    </a:stretch>
                  </pic:blipFill>
                  <pic:spPr bwMode="auto">
                    <a:xfrm>
                      <a:off x="0" y="0"/>
                      <a:ext cx="3947160" cy="2110924"/>
                    </a:xfrm>
                    <a:prstGeom prst="rect">
                      <a:avLst/>
                    </a:prstGeom>
                    <a:noFill/>
                    <a:ln w="9525">
                      <a:noFill/>
                      <a:headEnd/>
                      <a:tailEnd/>
                    </a:ln>
                  </pic:spPr>
                </pic:pic>
              </a:graphicData>
            </a:graphic>
          </wp:inline>
        </w:drawing>
      </w:r>
    </w:p>
    <w:p>
      <w:pPr>
        <w:pStyle w:val="BodyText"/>
        <w:spacing w:after="200"/>
        <w:jc w:val="both"/>
      </w:pPr>
      <w:r>
        <w:rPr>
          <w:bCs/>
          <w:b/>
          <w:sz w:val="19"/>
        </w:rPr>
        <w:t xml:space="preserve">圖 10　公所端案件處理流程。</w:t>
      </w:r>
      <w:r>
        <w:rPr>
          <w:sz w:val="19"/>
        </w:rPr>
        <w:t xml:space="preserve"> </w:t>
      </w:r>
      <w:r>
        <w:rPr>
          <w:sz w:val="19"/>
        </w:rPr>
        <w:t xml:space="preserve">依公告與證據將案件分為資料待補、符合書面查核條件、需現場確認三類；查核結果回填同一田區，供模型更新與後續追蹤。</w:t>
      </w:r>
    </w:p>
    <w:p>
      <w:pPr>
        <w:pStyle w:val="BodyText"/>
        <w:keepNext/>
        <w:jc w:val="center"/>
      </w:pPr>
      <w:r>
        <w:drawing>
          <wp:inline>
            <wp:extent cx="5334000" cy="8902262"/>
            <wp:effectExtent b="0" l="0" r="0" t="0"/>
            <wp:docPr descr="" title="" id="58" name="Picture"/>
            <a:graphic>
              <a:graphicData uri="http://schemas.openxmlformats.org/drawingml/2006/picture">
                <pic:pic>
                  <pic:nvPicPr>
                    <pic:cNvPr descr="charts/n13_farmer_screens.png" id="59" name="Picture"/>
                    <pic:cNvPicPr>
                      <a:picLocks noChangeArrowheads="1" noChangeAspect="1"/>
                    </pic:cNvPicPr>
                  </pic:nvPicPr>
                  <pic:blipFill>
                    <a:blip r:embed="rId57"/>
                    <a:stretch>
                      <a:fillRect/>
                    </a:stretch>
                  </pic:blipFill>
                  <pic:spPr bwMode="auto">
                    <a:xfrm>
                      <a:off x="0" y="0"/>
                      <a:ext cx="5334000" cy="8902262"/>
                    </a:xfrm>
                    <a:prstGeom prst="rect">
                      <a:avLst/>
                    </a:prstGeom>
                    <a:noFill/>
                    <a:ln w="9525">
                      <a:noFill/>
                      <a:headEnd/>
                      <a:tailEnd/>
                    </a:ln>
                  </pic:spPr>
                </pic:pic>
              </a:graphicData>
            </a:graphic>
          </wp:inline>
        </w:drawing>
      </w:r>
    </w:p>
    <w:p>
      <w:pPr>
        <w:pStyle w:val="BodyText"/>
        <w:spacing w:after="200"/>
        <w:jc w:val="both"/>
      </w:pPr>
      <w:r>
        <w:rPr>
          <w:bCs/>
          <w:b/>
          <w:sz w:val="19"/>
        </w:rPr>
        <w:t xml:space="preserve">圖 11　農民端原型畫面。</w:t>
      </w:r>
      <w:r>
        <w:rPr>
          <w:sz w:val="19"/>
        </w:rPr>
        <w:t xml:space="preserve"> </w:t>
      </w:r>
      <w:r>
        <w:rPr>
          <w:sz w:val="19"/>
        </w:rPr>
        <w:t xml:space="preserve">左：登錄第 3 步「確認田區範圍」，以地籍外框扣除農路水塘，並檢查可申報上限；右：災後「確認預填申請資料」，耕地標示來自謄本、面積來自公所確認的災前基準，受災率由農民申報並附存證報告估計區間。資料為示意。</w:t>
      </w:r>
    </w:p>
    <w:p>
      <w:pPr>
        <w:pStyle w:val="BodyText"/>
        <w:keepNext/>
        <w:jc w:val="center"/>
      </w:pPr>
      <w:r>
        <w:drawing>
          <wp:inline>
            <wp:extent cx="5334000" cy="4071342"/>
            <wp:effectExtent b="0" l="0" r="0" t="0"/>
            <wp:docPr descr="" title="" id="61" name="Picture"/>
            <a:graphic>
              <a:graphicData uri="http://schemas.openxmlformats.org/drawingml/2006/picture">
                <pic:pic>
                  <pic:nvPicPr>
                    <pic:cNvPr descr="charts/n14_office_review.png" id="62" name="Picture"/>
                    <pic:cNvPicPr>
                      <a:picLocks noChangeArrowheads="1" noChangeAspect="1"/>
                    </pic:cNvPicPr>
                  </pic:nvPicPr>
                  <pic:blipFill>
                    <a:blip r:embed="rId60"/>
                    <a:stretch>
                      <a:fillRect/>
                    </a:stretch>
                  </pic:blipFill>
                  <pic:spPr bwMode="auto">
                    <a:xfrm>
                      <a:off x="0" y="0"/>
                      <a:ext cx="5334000" cy="4071342"/>
                    </a:xfrm>
                    <a:prstGeom prst="rect">
                      <a:avLst/>
                    </a:prstGeom>
                    <a:noFill/>
                    <a:ln w="9525">
                      <a:noFill/>
                      <a:headEnd/>
                      <a:tailEnd/>
                    </a:ln>
                  </pic:spPr>
                </pic:pic>
              </a:graphicData>
            </a:graphic>
          </wp:inline>
        </w:drawing>
      </w:r>
    </w:p>
    <w:p>
      <w:pPr>
        <w:pStyle w:val="BodyText"/>
        <w:spacing w:after="200"/>
        <w:jc w:val="both"/>
      </w:pPr>
      <w:r>
        <w:rPr>
          <w:bCs/>
          <w:b/>
          <w:sz w:val="19"/>
        </w:rPr>
        <w:t xml:space="preserve">圖 12　公所端「案件審核與免勘判斷」畫面。</w:t>
      </w:r>
      <w:r>
        <w:rPr>
          <w:sz w:val="19"/>
        </w:rPr>
        <w:t xml:space="preserve"> </w:t>
      </w:r>
      <w:r>
        <w:rPr>
          <w:sz w:val="19"/>
        </w:rPr>
        <w:t xml:space="preserve">左側並列災前災後影像、App 照片與申報對照，並逐一判斷三條免勘路徑；右側由承辦人員核定面積與受害率。資料為示意。</w:t>
      </w:r>
    </w:p>
    <w:p>
      <w:pPr>
        <w:pStyle w:val="BodyText"/>
        <w:jc w:val="both"/>
      </w:pPr>
      <w:r>
        <w:t xml:space="preserve">團隊另製作三個操作畫面原型：勘災初篩畫面以災前災後影像滑動比對，標出疑似受災範圍與初估救助面積；土地資料建檔畫面在地圖選取區塊後，列出地籍、權利與使用紀錄的來源機關；作物登記查驗畫面將申報作物、衛星推定作物與現勘建議對照至同一區塊，並依「一致、不一致、未登記」排出現勘優先清單，銜接 R1–R5 檢核與 A／B／C 工作台〔132〕。</w:t>
      </w:r>
    </w:p>
    <w:p>
      <w:pPr>
        <w:pStyle w:val="BodyText"/>
        <w:keepNext/>
        <w:spacing w:before="160"/>
        <w:jc w:val="both"/>
      </w:pPr>
      <w:r>
        <w:rPr>
          <w:bCs/>
          <w:rFonts w:ascii="Times New Roman" w:hAnsi="Times New Roman" w:eastAsia="微軟正黑體"/>
          <w:b/>
          <w:color w:val="14213D"/>
        </w:rPr>
        <w:t xml:space="preserve">(5) 情境示例</w:t>
      </w:r>
    </w:p>
    <w:p>
      <w:pPr>
        <w:pStyle w:val="BodyText"/>
        <w:jc w:val="both"/>
      </w:pPr>
      <w:r>
        <w:rPr>
          <w:bCs/>
          <w:b/>
        </w:rPr>
        <w:t xml:space="preserve">同一農民的不同田區依證據強弱分流，現勘集中於需要判斷的案件。</w:t>
      </w:r>
    </w:p>
    <w:p>
      <w:pPr>
        <w:pStyle w:val="BodyText"/>
        <w:jc w:val="both"/>
      </w:pPr>
      <w:r>
        <w:t xml:space="preserve">陳大明承租的竹崎段 0418 麻竹筍田已於 1 月鎖定災前基準。颱風後雷達判讀受損明顯，存證報告估計損失 52%–68%，申請表已預填；他確認後持 QR 碼送件，公所調閱其 App 照片與存證報告，依「App 照片＋公所認定」免實地勘查。其另一塊香蕉田初步判讀落於 20% 上下，列 C 級，公所路通後到場核定 25%。同一農民的不同田區依證據強弱分流，現勘人力因而集中於需要判斷的案件。</w:t>
      </w:r>
    </w:p>
    <w:bookmarkEnd w:id="63"/>
    <w:bookmarkStart w:id="67" w:name="衛星必要性分析"/>
    <w:p>
      <w:pPr>
        <w:pStyle w:val="Heading3"/>
      </w:pPr>
      <w:r>
        <w:t xml:space="preserve">2. 衛星必要性分析</w:t>
      </w:r>
    </w:p>
    <w:p>
      <w:pPr>
        <w:pStyle w:val="FirstParagraph"/>
        <w:jc w:val="both"/>
      </w:pPr>
      <w:r>
        <w:rPr>
          <w:bCs/>
          <w:b/>
        </w:rPr>
        <w:t xml:space="preserve">災前紀錄無法事後補拍，衛星可持續保存全轄區的災前狀態，雷達可在颱風後穿雲取像。</w:t>
      </w:r>
    </w:p>
    <w:p>
      <w:pPr>
        <w:pStyle w:val="BodyText"/>
        <w:jc w:val="both"/>
      </w:pPr>
      <w:r>
        <w:t xml:space="preserve">本作品整合多源衛星與地面技術（表 5、圖 13）。Sentinel-1 雷達不受雲層影響，負責颱風後第一時間的比對；Sentinel-2 負責植生與作物時序；福衛八號以 1 米解析度處理小田與魚塭在養證據；VIIRS 夜間燈光判斷停電；GNSS 與衛星通訊補足陡坡、樹冠下與斷網時的缺口。</w:t>
      </w:r>
    </w:p>
    <w:p>
      <w:pPr>
        <w:pStyle w:val="BodyText"/>
        <w:keepNext/>
        <w:spacing w:before="160"/>
        <w:jc w:val="both"/>
      </w:pPr>
      <w:r>
        <w:rPr>
          <w:bCs/>
          <w:rFonts w:ascii="Times New Roman" w:hAnsi="Times New Roman" w:eastAsia="微軟正黑體"/>
          <w:b/>
          <w:sz w:val="20"/>
        </w:rPr>
        <w:t xml:space="preserve">表 5　採用的衛星與地面技術</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2640"/>
        <w:gridCol w:w="2640"/>
        <w:gridCol w:w="2640"/>
      </w:tblGrid>
      <w:tr>
        <w:trPr>
          <w:tblHeader w:val="true"/>
        </w:trPr>
        <w:tc>
          <w:tcPr>
            <w:shd w:val="clear" w:color="auto" w:fill="E8EDF6"/>
          </w:tcPr>
          <w:p>
            <w:pPr>
              <w:pStyle w:val="Compact"/>
              <w:spacing w:after="20" w:line="276" w:lineRule="auto"/>
              <w:jc w:val="left"/>
            </w:pPr>
            <w:r>
              <w:rPr>
                <w:b/>
                <w:sz w:val="19"/>
              </w:rPr>
              <w:t xml:space="preserve">技術</w:t>
            </w:r>
          </w:p>
        </w:tc>
        <w:tc>
          <w:tcPr>
            <w:shd w:val="clear" w:color="auto" w:fill="E8EDF6"/>
          </w:tcPr>
          <w:p>
            <w:pPr>
              <w:pStyle w:val="Compact"/>
              <w:spacing w:after="20" w:line="276" w:lineRule="auto"/>
              <w:jc w:val="left"/>
            </w:pPr>
            <w:r>
              <w:rPr>
                <w:b/>
                <w:sz w:val="19"/>
              </w:rPr>
              <w:t xml:space="preserve">規格</w:t>
            </w:r>
          </w:p>
        </w:tc>
        <w:tc>
          <w:tcPr>
            <w:shd w:val="clear" w:color="auto" w:fill="E8EDF6"/>
          </w:tcPr>
          <w:p>
            <w:pPr>
              <w:pStyle w:val="Compact"/>
              <w:spacing w:after="20" w:line="276" w:lineRule="auto"/>
              <w:jc w:val="left"/>
            </w:pPr>
            <w:r>
              <w:rPr>
                <w:b/>
                <w:sz w:val="19"/>
              </w:rPr>
              <w:t xml:space="preserve">用途</w:t>
            </w:r>
          </w:p>
        </w:tc>
      </w:tr>
      <w:tr>
        <w:tc>
          <w:tcPr/>
          <w:p>
            <w:pPr>
              <w:pStyle w:val="Compact"/>
              <w:spacing w:after="20" w:line="276" w:lineRule="auto"/>
              <w:jc w:val="left"/>
            </w:pPr>
            <w:r>
              <w:rPr>
                <w:sz w:val="19"/>
              </w:rPr>
              <w:t xml:space="preserve">Sentinel-1 SAR</w:t>
            </w:r>
          </w:p>
        </w:tc>
        <w:tc>
          <w:tcPr/>
          <w:p>
            <w:pPr>
              <w:pStyle w:val="Compact"/>
              <w:spacing w:after="20" w:line="276" w:lineRule="auto"/>
              <w:jc w:val="left"/>
            </w:pPr>
            <w:r>
              <w:rPr>
                <w:sz w:val="19"/>
              </w:rPr>
              <w:t xml:space="preserve">C 波段 VV＋VH、像素間距 10 米（空間解析度約 20 × 22 米〔129〕）；雙星 6 天再訪；免費〔70〕</w:t>
            </w:r>
          </w:p>
        </w:tc>
        <w:tc>
          <w:tcPr/>
          <w:p>
            <w:pPr>
              <w:pStyle w:val="Compact"/>
              <w:spacing w:after="20" w:line="276" w:lineRule="auto"/>
              <w:jc w:val="left"/>
            </w:pPr>
            <w:r>
              <w:rPr>
                <w:sz w:val="19"/>
              </w:rPr>
              <w:t xml:space="preserve">倒伏、淹水、埋沒、溢堤、魚塭坵塊</w:t>
            </w:r>
          </w:p>
        </w:tc>
      </w:tr>
      <w:tr>
        <w:tc>
          <w:tcPr/>
          <w:p>
            <w:pPr>
              <w:pStyle w:val="Compact"/>
              <w:spacing w:after="20" w:line="276" w:lineRule="auto"/>
              <w:jc w:val="left"/>
            </w:pPr>
            <w:r>
              <w:rPr>
                <w:sz w:val="19"/>
              </w:rPr>
              <w:t xml:space="preserve">Sentinel-2 光學</w:t>
            </w:r>
          </w:p>
        </w:tc>
        <w:tc>
          <w:tcPr/>
          <w:p>
            <w:pPr>
              <w:pStyle w:val="Compact"/>
              <w:spacing w:after="20" w:line="276" w:lineRule="auto"/>
              <w:jc w:val="left"/>
            </w:pPr>
            <w:r>
              <w:rPr>
                <w:sz w:val="19"/>
              </w:rPr>
              <w:t xml:space="preserve">10–20 米；約 5 天〔71〕</w:t>
            </w:r>
          </w:p>
        </w:tc>
        <w:tc>
          <w:tcPr/>
          <w:p>
            <w:pPr>
              <w:pStyle w:val="Compact"/>
              <w:spacing w:after="20" w:line="276" w:lineRule="auto"/>
              <w:jc w:val="left"/>
            </w:pPr>
            <w:r>
              <w:rPr>
                <w:sz w:val="19"/>
              </w:rPr>
              <w:t xml:space="preserve">植生指標、作物時序、水色</w:t>
            </w:r>
          </w:p>
        </w:tc>
      </w:tr>
      <w:tr>
        <w:tc>
          <w:tcPr/>
          <w:p>
            <w:pPr>
              <w:pStyle w:val="Compact"/>
              <w:spacing w:after="20" w:line="276" w:lineRule="auto"/>
              <w:jc w:val="left"/>
            </w:pPr>
            <w:r>
              <w:rPr>
                <w:sz w:val="19"/>
              </w:rPr>
              <w:t xml:space="preserve">福衛八號</w:t>
            </w:r>
          </w:p>
        </w:tc>
        <w:tc>
          <w:tcPr/>
          <w:p>
            <w:pPr>
              <w:pStyle w:val="Compact"/>
              <w:spacing w:after="20" w:line="276" w:lineRule="auto"/>
              <w:jc w:val="left"/>
            </w:pPr>
            <w:r>
              <w:rPr>
                <w:sz w:val="19"/>
              </w:rPr>
              <w:t xml:space="preserve">1 米（處理後 0.7 米）、紅邊波段；對臺最高一日三次；2031 年前 8 顆〔74〕〔75〕</w:t>
            </w:r>
          </w:p>
        </w:tc>
        <w:tc>
          <w:tcPr/>
          <w:p>
            <w:pPr>
              <w:pStyle w:val="Compact"/>
              <w:spacing w:after="20" w:line="276" w:lineRule="auto"/>
              <w:jc w:val="left"/>
            </w:pPr>
            <w:r>
              <w:rPr>
                <w:sz w:val="19"/>
              </w:rPr>
              <w:t xml:space="preserve">小於 0.3 公頃的田、魚塭水車</w:t>
            </w:r>
          </w:p>
        </w:tc>
      </w:tr>
      <w:tr>
        <w:tc>
          <w:tcPr/>
          <w:p>
            <w:pPr>
              <w:pStyle w:val="Compact"/>
              <w:spacing w:after="20" w:line="276" w:lineRule="auto"/>
              <w:jc w:val="left"/>
            </w:pPr>
            <w:r>
              <w:rPr>
                <w:sz w:val="19"/>
              </w:rPr>
              <w:t xml:space="preserve">福衛九號</w:t>
            </w:r>
          </w:p>
        </w:tc>
        <w:tc>
          <w:tcPr/>
          <w:p>
            <w:pPr>
              <w:pStyle w:val="Compact"/>
              <w:spacing w:after="20" w:line="276" w:lineRule="auto"/>
              <w:jc w:val="left"/>
            </w:pPr>
            <w:r>
              <w:rPr>
                <w:sz w:val="19"/>
              </w:rPr>
              <w:t xml:space="preserve">雷達，2028、2030 年發射〔26〕</w:t>
            </w:r>
          </w:p>
        </w:tc>
        <w:tc>
          <w:tcPr/>
          <w:p>
            <w:pPr>
              <w:pStyle w:val="Compact"/>
              <w:spacing w:after="20" w:line="276" w:lineRule="auto"/>
              <w:jc w:val="left"/>
            </w:pPr>
            <w:r>
              <w:rPr>
                <w:sz w:val="19"/>
              </w:rPr>
              <w:t xml:space="preserve">自主穿雲來源</w:t>
            </w:r>
          </w:p>
        </w:tc>
      </w:tr>
      <w:tr>
        <w:tc>
          <w:tcPr/>
          <w:p>
            <w:pPr>
              <w:pStyle w:val="Compact"/>
              <w:spacing w:after="20" w:line="276" w:lineRule="auto"/>
              <w:jc w:val="left"/>
            </w:pPr>
            <w:r>
              <w:rPr>
                <w:sz w:val="19"/>
              </w:rPr>
              <w:t xml:space="preserve">VIIRS 夜間燈光</w:t>
            </w:r>
          </w:p>
        </w:tc>
        <w:tc>
          <w:tcPr/>
          <w:p>
            <w:pPr>
              <w:pStyle w:val="Compact"/>
              <w:spacing w:after="20" w:line="276" w:lineRule="auto"/>
              <w:jc w:val="left"/>
            </w:pPr>
            <w:r>
              <w:rPr>
                <w:sz w:val="19"/>
              </w:rPr>
              <w:t xml:space="preserve">約 500 米、每日〔66〕</w:t>
            </w:r>
          </w:p>
        </w:tc>
        <w:tc>
          <w:tcPr/>
          <w:p>
            <w:pPr>
              <w:pStyle w:val="Compact"/>
              <w:spacing w:after="20" w:line="276" w:lineRule="auto"/>
              <w:jc w:val="left"/>
            </w:pPr>
            <w:r>
              <w:rPr>
                <w:sz w:val="19"/>
              </w:rPr>
              <w:t xml:space="preserve">魚塭區停電天數</w:t>
            </w:r>
          </w:p>
        </w:tc>
      </w:tr>
      <w:tr>
        <w:tc>
          <w:tcPr/>
          <w:p>
            <w:pPr>
              <w:pStyle w:val="Compact"/>
              <w:spacing w:after="20" w:line="276" w:lineRule="auto"/>
              <w:jc w:val="left"/>
            </w:pPr>
            <w:r>
              <w:rPr>
                <w:sz w:val="19"/>
              </w:rPr>
              <w:t xml:space="preserve">GNSS 與衛星通訊</w:t>
            </w:r>
          </w:p>
        </w:tc>
        <w:tc>
          <w:tcPr/>
          <w:p>
            <w:pPr>
              <w:pStyle w:val="Compact"/>
              <w:spacing w:after="20" w:line="276" w:lineRule="auto"/>
              <w:jc w:val="left"/>
            </w:pPr>
            <w:r>
              <w:rPr>
                <w:sz w:val="19"/>
              </w:rPr>
              <w:t xml:space="preserve">e-GNSS 平面精度優於 5 公分〔87〕；數發部約 700 個衛星備援站點〔88〕</w:t>
            </w:r>
          </w:p>
        </w:tc>
        <w:tc>
          <w:tcPr/>
          <w:p>
            <w:pPr>
              <w:pStyle w:val="Compact"/>
              <w:spacing w:after="20" w:line="276" w:lineRule="auto"/>
              <w:jc w:val="left"/>
            </w:pPr>
            <w:r>
              <w:rPr>
                <w:sz w:val="19"/>
              </w:rPr>
              <w:t xml:space="preserve">坡面定位樁、斷網回傳、C 級現場座標</w:t>
            </w:r>
          </w:p>
        </w:tc>
      </w:tr>
    </w:tbl>
    <w:p>
      <w:pPr>
        <w:pStyle w:val="BodyText"/>
        <w:keepNext/>
        <w:jc w:val="center"/>
      </w:pPr>
      <w:r>
        <w:drawing>
          <wp:inline>
            <wp:extent cx="5334000" cy="2599228"/>
            <wp:effectExtent b="0" l="0" r="0" t="0"/>
            <wp:docPr descr="" title="" id="65" name="Picture"/>
            <a:graphic>
              <a:graphicData uri="http://schemas.openxmlformats.org/drawingml/2006/picture">
                <pic:pic>
                  <pic:nvPicPr>
                    <pic:cNvPr descr="charts/n30_sensor_scale.png" id="66" name="Picture"/>
                    <pic:cNvPicPr>
                      <a:picLocks noChangeArrowheads="1" noChangeAspect="1"/>
                    </pic:cNvPicPr>
                  </pic:nvPicPr>
                  <pic:blipFill>
                    <a:blip r:embed="rId64"/>
                    <a:stretch>
                      <a:fillRect/>
                    </a:stretch>
                  </pic:blipFill>
                  <pic:spPr bwMode="auto">
                    <a:xfrm>
                      <a:off x="0" y="0"/>
                      <a:ext cx="5334000" cy="2599228"/>
                    </a:xfrm>
                    <a:prstGeom prst="rect">
                      <a:avLst/>
                    </a:prstGeom>
                    <a:noFill/>
                    <a:ln w="9525">
                      <a:noFill/>
                      <a:headEnd/>
                      <a:tailEnd/>
                    </a:ln>
                  </pic:spPr>
                </pic:pic>
              </a:graphicData>
            </a:graphic>
          </wp:inline>
        </w:drawing>
      </w:r>
    </w:p>
    <w:p>
      <w:pPr>
        <w:pStyle w:val="BodyText"/>
        <w:spacing w:after="200"/>
        <w:jc w:val="both"/>
      </w:pPr>
      <w:r>
        <w:rPr>
          <w:bCs/>
          <w:b/>
          <w:sz w:val="19"/>
        </w:rPr>
        <w:t xml:space="preserve">圖 13　本作品採用衛星的空間尺度（對數座標）。</w:t>
      </w:r>
      <w:r>
        <w:rPr>
          <w:sz w:val="19"/>
        </w:rPr>
        <w:t xml:space="preserve"> </w:t>
      </w:r>
      <w:r>
        <w:rPr>
          <w:sz w:val="19"/>
        </w:rPr>
        <w:t xml:space="preserve">Sentinel-1 像素間距 10 米，實際空間解析度約 20 × 22 米〔129〕。</w:t>
      </w:r>
    </w:p>
    <w:p>
      <w:pPr>
        <w:pStyle w:val="BodyText"/>
        <w:jc w:val="both"/>
      </w:pPr>
      <w:r>
        <w:t xml:space="preserve">衛星的必要性可由五點論證：其一，</w:t>
      </w:r>
      <w:r>
        <w:rPr>
          <w:bCs/>
          <w:b/>
        </w:rPr>
        <w:t xml:space="preserve">災前紀錄無法事後補拍</w:t>
      </w:r>
      <w:r>
        <w:t xml:space="preserve">，唯有衛星能事前持續保存全轄區紀錄；其二，一次過境涵蓋整個鄉鎮，</w:t>
      </w:r>
      <w:r>
        <w:rPr>
          <w:bCs/>
          <w:b/>
        </w:rPr>
        <w:t xml:space="preserve">全案件同一標準</w:t>
      </w:r>
      <w:r>
        <w:t xml:space="preserve">；其三，臺灣淹水歷時短，</w:t>
      </w:r>
      <w:r>
        <w:rPr>
          <w:bCs/>
          <w:b/>
        </w:rPr>
        <w:t xml:space="preserve">雷達可於颱風後穿雲取像</w:t>
      </w:r>
      <w:r>
        <w:t xml:space="preserve">〔39〕，此時無人機往往無法起飛；其四，</w:t>
      </w:r>
      <w:r>
        <w:rPr>
          <w:bCs/>
          <w:b/>
        </w:rPr>
        <w:t xml:space="preserve">不受道路中斷限制</w:t>
      </w:r>
      <w:r>
        <w:t xml:space="preserve">，可回應古坑竹林案例〔8〕；其五，</w:t>
      </w:r>
      <w:r>
        <w:rPr>
          <w:bCs/>
          <w:b/>
        </w:rPr>
        <w:t xml:space="preserve">量體只有衛星能處理</w:t>
      </w:r>
      <w:r>
        <w:t xml:space="preserve">，凱米颱風受害 21,712 公頃〔14〕，以無人機飛完丹娜絲受害面積僅飛行費即約 48.6 萬至 68 萬元〔98〕〔99〕。據此，本作品的分工為：衛星判斷「哪些不必看、哪些必須看」，無人機看清楚小田，公所負責最後認定。</w:t>
      </w:r>
    </w:p>
    <w:bookmarkEnd w:id="67"/>
    <w:bookmarkStart w:id="68" w:name="概念創新性分析"/>
    <w:p>
      <w:pPr>
        <w:pStyle w:val="Heading3"/>
      </w:pPr>
      <w:r>
        <w:t xml:space="preserve">3. 概念創新性分析</w:t>
      </w:r>
    </w:p>
    <w:p>
      <w:pPr>
        <w:pStyle w:val="FirstParagraph"/>
        <w:jc w:val="both"/>
      </w:pPr>
      <w:r>
        <w:rPr>
          <w:bCs/>
          <w:b/>
        </w:rPr>
        <w:t xml:space="preserve">本作品的創新在於將衛星比對結果轉為可嵌入救助制度的證據與流程。</w:t>
      </w:r>
    </w:p>
    <w:p>
      <w:pPr>
        <w:pStyle w:val="BodyText"/>
        <w:jc w:val="both"/>
      </w:pPr>
      <w:r>
        <w:t xml:space="preserve">前後期比對技術本身已實用，本作品的創新在於將其轉化為可嵌入我國救助制度的證據與流程（表 6）。</w:t>
      </w:r>
    </w:p>
    <w:p>
      <w:pPr>
        <w:pStyle w:val="BodyText"/>
        <w:keepNext/>
        <w:spacing w:before="160"/>
        <w:jc w:val="both"/>
      </w:pPr>
      <w:r>
        <w:rPr>
          <w:bCs/>
          <w:rFonts w:ascii="Times New Roman" w:hAnsi="Times New Roman" w:eastAsia="微軟正黑體"/>
          <w:b/>
          <w:sz w:val="20"/>
        </w:rPr>
        <w:t xml:space="preserve">表 6　概念創新點</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3960"/>
        <w:gridCol w:w="3960"/>
      </w:tblGrid>
      <w:tr>
        <w:trPr>
          <w:tblHeader w:val="true"/>
        </w:trPr>
        <w:tc>
          <w:tcPr>
            <w:shd w:val="clear" w:color="auto" w:fill="E8EDF6"/>
          </w:tcPr>
          <w:p>
            <w:pPr>
              <w:pStyle w:val="Compact"/>
              <w:spacing w:after="20" w:line="276" w:lineRule="auto"/>
              <w:jc w:val="left"/>
            </w:pPr>
            <w:r>
              <w:rPr>
                <w:b/>
                <w:sz w:val="19"/>
              </w:rPr>
              <w:t xml:space="preserve">創新點</w:t>
            </w:r>
          </w:p>
        </w:tc>
        <w:tc>
          <w:tcPr>
            <w:shd w:val="clear" w:color="auto" w:fill="E8EDF6"/>
          </w:tcPr>
          <w:p>
            <w:pPr>
              <w:pStyle w:val="Compact"/>
              <w:spacing w:after="20" w:line="276" w:lineRule="auto"/>
              <w:jc w:val="left"/>
            </w:pPr>
            <w:r>
              <w:rPr>
                <w:b/>
                <w:sz w:val="19"/>
              </w:rPr>
              <w:t xml:space="preserve">說明</w:t>
            </w:r>
          </w:p>
        </w:tc>
      </w:tr>
      <w:tr>
        <w:tc>
          <w:tcPr/>
          <w:p>
            <w:pPr>
              <w:pStyle w:val="Compact"/>
              <w:spacing w:after="20" w:line="276" w:lineRule="auto"/>
              <w:jc w:val="left"/>
            </w:pPr>
            <w:r>
              <w:rPr>
                <w:sz w:val="19"/>
              </w:rPr>
              <w:t xml:space="preserve">嵌入流程而非監測圖</w:t>
            </w:r>
          </w:p>
        </w:tc>
        <w:tc>
          <w:tcPr/>
          <w:p>
            <w:pPr>
              <w:pStyle w:val="Compact"/>
              <w:spacing w:after="20" w:line="276" w:lineRule="auto"/>
              <w:jc w:val="left"/>
            </w:pPr>
            <w:r>
              <w:rPr>
                <w:sz w:val="19"/>
              </w:rPr>
              <w:t xml:space="preserve">產出公所可直接使用的分級清單與審核畫面、農民可直接送件的預填申請表，並銜接農災 App</w:t>
            </w:r>
          </w:p>
        </w:tc>
      </w:tr>
      <w:tr>
        <w:tc>
          <w:tcPr/>
          <w:p>
            <w:pPr>
              <w:pStyle w:val="Compact"/>
              <w:spacing w:after="20" w:line="276" w:lineRule="auto"/>
              <w:jc w:val="left"/>
            </w:pPr>
            <w:r>
              <w:rPr>
                <w:sz w:val="19"/>
              </w:rPr>
              <w:t xml:space="preserve">由監測轉為存證</w:t>
            </w:r>
          </w:p>
        </w:tc>
        <w:tc>
          <w:tcPr/>
          <w:p>
            <w:pPr>
              <w:pStyle w:val="Compact"/>
              <w:spacing w:after="20" w:line="276" w:lineRule="auto"/>
              <w:jc w:val="left"/>
            </w:pPr>
            <w:r>
              <w:rPr>
                <w:sz w:val="19"/>
              </w:rPr>
              <w:t xml:space="preserve">存證報告對準「種植客觀證明」免勘規定</w:t>
            </w:r>
          </w:p>
        </w:tc>
      </w:tr>
      <w:tr>
        <w:tc>
          <w:tcPr/>
          <w:p>
            <w:pPr>
              <w:pStyle w:val="Compact"/>
              <w:spacing w:after="20" w:line="276" w:lineRule="auto"/>
              <w:jc w:val="left"/>
            </w:pPr>
            <w:r>
              <w:rPr>
                <w:sz w:val="19"/>
              </w:rPr>
              <w:t xml:space="preserve">災前基準由公所確認一次</w:t>
            </w:r>
          </w:p>
        </w:tc>
        <w:tc>
          <w:tcPr/>
          <w:p>
            <w:pPr>
              <w:pStyle w:val="Compact"/>
              <w:spacing w:after="20" w:line="276" w:lineRule="auto"/>
              <w:jc w:val="left"/>
            </w:pPr>
            <w:r>
              <w:rPr>
                <w:sz w:val="19"/>
              </w:rPr>
              <w:t xml:space="preserve">借用既有綠色環境給付申報時程，災後不再量面積</w:t>
            </w:r>
          </w:p>
        </w:tc>
      </w:tr>
      <w:tr>
        <w:tc>
          <w:tcPr/>
          <w:p>
            <w:pPr>
              <w:pStyle w:val="Compact"/>
              <w:spacing w:after="20" w:line="276" w:lineRule="auto"/>
              <w:jc w:val="left"/>
            </w:pPr>
            <w:r>
              <w:rPr>
                <w:sz w:val="19"/>
              </w:rPr>
              <w:t xml:space="preserve">以實際耕作坵塊為單位</w:t>
            </w:r>
          </w:p>
        </w:tc>
        <w:tc>
          <w:tcPr/>
          <w:p>
            <w:pPr>
              <w:pStyle w:val="Compact"/>
              <w:spacing w:after="20" w:line="276" w:lineRule="auto"/>
              <w:jc w:val="left"/>
            </w:pPr>
            <w:r>
              <w:rPr>
                <w:sz w:val="19"/>
              </w:rPr>
              <w:t xml:space="preserve">地號僅作索引；地號、坵塊、申報對不上者交公所判斷</w:t>
            </w:r>
          </w:p>
        </w:tc>
      </w:tr>
      <w:tr>
        <w:tc>
          <w:tcPr/>
          <w:p>
            <w:pPr>
              <w:pStyle w:val="Compact"/>
              <w:spacing w:after="20" w:line="276" w:lineRule="auto"/>
              <w:jc w:val="left"/>
            </w:pPr>
            <w:r>
              <w:rPr>
                <w:sz w:val="19"/>
              </w:rPr>
              <w:t xml:space="preserve">輸出損失區間</w:t>
            </w:r>
          </w:p>
        </w:tc>
        <w:tc>
          <w:tcPr/>
          <w:p>
            <w:pPr>
              <w:pStyle w:val="Compact"/>
              <w:spacing w:after="20" w:line="276" w:lineRule="auto"/>
              <w:jc w:val="left"/>
            </w:pPr>
            <w:r>
              <w:rPr>
                <w:sz w:val="19"/>
              </w:rPr>
              <w:t xml:space="preserve">只需判斷區間是否跨越 20%；逐筆列出影響判定的特徵</w:t>
            </w:r>
          </w:p>
        </w:tc>
      </w:tr>
      <w:tr>
        <w:tc>
          <w:tcPr/>
          <w:p>
            <w:pPr>
              <w:pStyle w:val="Compact"/>
              <w:spacing w:after="20" w:line="276" w:lineRule="auto"/>
              <w:jc w:val="left"/>
            </w:pPr>
            <w:r>
              <w:rPr>
                <w:sz w:val="19"/>
              </w:rPr>
              <w:t xml:space="preserve">魚塭在養證明</w:t>
            </w:r>
          </w:p>
        </w:tc>
        <w:tc>
          <w:tcPr/>
          <w:p>
            <w:pPr>
              <w:pStyle w:val="Compact"/>
              <w:spacing w:after="20" w:line="276" w:lineRule="auto"/>
              <w:jc w:val="left"/>
            </w:pPr>
            <w:r>
              <w:rPr>
                <w:sz w:val="19"/>
              </w:rPr>
              <w:t xml:space="preserve">不估魚隻數，而證明災前在養與受災方式〔86〕</w:t>
            </w:r>
          </w:p>
        </w:tc>
      </w:tr>
      <w:tr>
        <w:tc>
          <w:tcPr/>
          <w:p>
            <w:pPr>
              <w:pStyle w:val="Compact"/>
              <w:spacing w:after="20" w:line="276" w:lineRule="auto"/>
              <w:jc w:val="left"/>
            </w:pPr>
            <w:r>
              <w:rPr>
                <w:sz w:val="19"/>
              </w:rPr>
              <w:t xml:space="preserve">可溯源、可重算</w:t>
            </w:r>
          </w:p>
        </w:tc>
        <w:tc>
          <w:tcPr/>
          <w:p>
            <w:pPr>
              <w:pStyle w:val="Compact"/>
              <w:spacing w:after="20" w:line="276" w:lineRule="auto"/>
              <w:jc w:val="left"/>
            </w:pPr>
            <w:r>
              <w:rPr>
                <w:sz w:val="19"/>
              </w:rPr>
              <w:t xml:space="preserve">依 STAC 與 W3C PROV 記錄影像、處理、模型版本〔90〕〔91〕</w:t>
            </w:r>
          </w:p>
        </w:tc>
      </w:tr>
      <w:tr>
        <w:tc>
          <w:tcPr/>
          <w:p>
            <w:pPr>
              <w:pStyle w:val="Compact"/>
              <w:spacing w:after="20" w:line="276" w:lineRule="auto"/>
              <w:jc w:val="left"/>
            </w:pPr>
            <w:r>
              <w:rPr>
                <w:sz w:val="19"/>
              </w:rPr>
              <w:t xml:space="preserve">不需修法即可起步</w:t>
            </w:r>
          </w:p>
        </w:tc>
        <w:tc>
          <w:tcPr/>
          <w:p>
            <w:pPr>
              <w:pStyle w:val="Compact"/>
              <w:spacing w:after="20" w:line="276" w:lineRule="auto"/>
              <w:jc w:val="left"/>
            </w:pPr>
            <w:r>
              <w:rPr>
                <w:sz w:val="19"/>
              </w:rPr>
              <w:t xml:space="preserve">短期作影像存證參考，中期爭取列為客觀證明，長期提案「衛星災損參數」</w:t>
            </w:r>
          </w:p>
        </w:tc>
      </w:tr>
    </w:tbl>
    <w:bookmarkEnd w:id="68"/>
    <w:bookmarkStart w:id="96" w:name="技術可行性分析"/>
    <w:p>
      <w:pPr>
        <w:pStyle w:val="Heading3"/>
      </w:pPr>
      <w:r>
        <w:t xml:space="preserve">4. 技術可行性分析</w:t>
      </w:r>
    </w:p>
    <w:p>
      <w:pPr>
        <w:pStyle w:val="FirstParagraph"/>
        <w:jc w:val="both"/>
      </w:pPr>
      <w:r>
        <w:rPr>
          <w:bCs/>
          <w:b/>
        </w:rPr>
        <w:t xml:space="preserve">判讀方法均有文獻依據，已以丹娜絲颱風真實影像完成災前災後比對，模擬工況已執行完整流程，資料取得與送件層級均已對照現行法令。</w:t>
      </w:r>
    </w:p>
    <w:p>
      <w:pPr>
        <w:pStyle w:val="BodyText"/>
        <w:keepNext/>
        <w:spacing w:before="160"/>
        <w:jc w:val="both"/>
      </w:pPr>
      <w:r>
        <w:rPr>
          <w:bCs/>
          <w:rFonts w:ascii="Times New Roman" w:hAnsi="Times New Roman" w:eastAsia="微軟正黑體"/>
          <w:b/>
          <w:color w:val="14213D"/>
        </w:rPr>
        <w:t xml:space="preserve">(1) 系統架構與判讀方法</w:t>
      </w:r>
    </w:p>
    <w:p>
      <w:pPr>
        <w:pStyle w:val="BodyText"/>
        <w:jc w:val="both"/>
      </w:pPr>
      <w:r>
        <w:rPr>
          <w:bCs/>
          <w:b/>
        </w:rPr>
        <w:t xml:space="preserve">坵塊化置於判讀之前，全國約 200 萬筆地號跑一輪作物判釋，單張 GPU 約 27 分鐘；六項判讀任務皆採已發表方法。</w:t>
      </w:r>
    </w:p>
    <w:p>
      <w:pPr>
        <w:pStyle w:val="BodyText"/>
        <w:jc w:val="both"/>
      </w:pPr>
      <w:r>
        <w:t xml:space="preserve">系統分為資料、處理、判讀、案件與應用五層，並以現勘結果回填形成閉環（圖 14）。設計上將坵塊化置於判讀之前，使運算量與坵塊數而非影像面積成正比：全國約 200 萬筆地號跑一輪作物判釋，單張 GPU 約 27 分鐘〔54〕。為避免混合像素，坵塊向內縮 10 米取統計，內縮後過小者改用福衛八號或列 C。</w:t>
      </w:r>
    </w:p>
    <w:p>
      <w:pPr>
        <w:pStyle w:val="BodyText"/>
        <w:keepNext/>
        <w:jc w:val="center"/>
      </w:pPr>
      <w:r>
        <w:drawing>
          <wp:inline>
            <wp:extent cx="4693920" cy="2404202"/>
            <wp:effectExtent b="0" l="0" r="0" t="0"/>
            <wp:docPr descr="" title="" id="70" name="Picture"/>
            <a:graphic>
              <a:graphicData uri="http://schemas.openxmlformats.org/drawingml/2006/picture">
                <pic:pic>
                  <pic:nvPicPr>
                    <pic:cNvPr descr="charts/t6_layers.png" id="71" name="Picture"/>
                    <pic:cNvPicPr>
                      <a:picLocks noChangeArrowheads="1" noChangeAspect="1"/>
                    </pic:cNvPicPr>
                  </pic:nvPicPr>
                  <pic:blipFill>
                    <a:blip r:embed="rId69"/>
                    <a:stretch>
                      <a:fillRect/>
                    </a:stretch>
                  </pic:blipFill>
                  <pic:spPr bwMode="auto">
                    <a:xfrm>
                      <a:off x="0" y="0"/>
                      <a:ext cx="4693920" cy="2404202"/>
                    </a:xfrm>
                    <a:prstGeom prst="rect">
                      <a:avLst/>
                    </a:prstGeom>
                    <a:noFill/>
                    <a:ln w="9525">
                      <a:noFill/>
                      <a:headEnd/>
                      <a:tailEnd/>
                    </a:ln>
                  </pic:spPr>
                </pic:pic>
              </a:graphicData>
            </a:graphic>
          </wp:inline>
        </w:drawing>
      </w:r>
    </w:p>
    <w:p>
      <w:pPr>
        <w:pStyle w:val="BodyText"/>
        <w:spacing w:after="200"/>
        <w:jc w:val="both"/>
      </w:pPr>
      <w:r>
        <w:rPr>
          <w:bCs/>
          <w:b/>
          <w:sz w:val="19"/>
        </w:rPr>
        <w:t xml:space="preserve">圖 14　天相星系統架構。</w:t>
      </w:r>
      <w:r>
        <w:rPr>
          <w:sz w:val="19"/>
        </w:rPr>
        <w:t xml:space="preserve"> </w:t>
      </w:r>
      <w:r>
        <w:rPr>
          <w:sz w:val="19"/>
        </w:rPr>
        <w:t xml:space="preserve">應用層的現地結果回填後，用於更新模型與案件狀態。</w:t>
      </w:r>
    </w:p>
    <w:p>
      <w:pPr>
        <w:pStyle w:val="BodyText"/>
        <w:jc w:val="both"/>
      </w:pPr>
      <w:r>
        <w:t xml:space="preserve">判讀分為六項任務（表 7），方法均有文獻依據。淹水採三法投票，因單一雷達門檻的洪水 IoU 僅約 0.29〔56〕；倒伏以雷達 VH 為主，香蕉與竹林的表現須以丹娜絲驗證；埋沒訊號強，雲未散時即可判 A。系統並於災後追蹤 6 個月，以標記延遲性災損。</w:t>
      </w:r>
    </w:p>
    <w:p>
      <w:pPr>
        <w:pStyle w:val="BodyText"/>
        <w:keepNext/>
        <w:spacing w:before="160"/>
        <w:jc w:val="both"/>
      </w:pPr>
      <w:r>
        <w:rPr>
          <w:bCs/>
          <w:rFonts w:ascii="Times New Roman" w:hAnsi="Times New Roman" w:eastAsia="微軟正黑體"/>
          <w:b/>
          <w:sz w:val="20"/>
        </w:rPr>
        <w:t xml:space="preserve">表 7　農田判讀模型</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2640"/>
        <w:gridCol w:w="2640"/>
        <w:gridCol w:w="2640"/>
      </w:tblGrid>
      <w:tr>
        <w:trPr>
          <w:tblHeader w:val="true"/>
        </w:trPr>
        <w:tc>
          <w:tcPr>
            <w:shd w:val="clear" w:color="auto" w:fill="E8EDF6"/>
          </w:tcPr>
          <w:p>
            <w:pPr>
              <w:pStyle w:val="Compact"/>
              <w:spacing w:after="20" w:line="276" w:lineRule="auto"/>
              <w:jc w:val="left"/>
            </w:pPr>
            <w:r>
              <w:rPr>
                <w:b/>
                <w:sz w:val="19"/>
              </w:rPr>
              <w:t xml:space="preserve">任務</w:t>
            </w:r>
          </w:p>
        </w:tc>
        <w:tc>
          <w:tcPr>
            <w:shd w:val="clear" w:color="auto" w:fill="E8EDF6"/>
          </w:tcPr>
          <w:p>
            <w:pPr>
              <w:pStyle w:val="Compact"/>
              <w:spacing w:after="20" w:line="276" w:lineRule="auto"/>
              <w:jc w:val="left"/>
            </w:pPr>
            <w:r>
              <w:rPr>
                <w:b/>
                <w:sz w:val="19"/>
              </w:rPr>
              <w:t xml:space="preserve">模型</w:t>
            </w:r>
          </w:p>
        </w:tc>
        <w:tc>
          <w:tcPr>
            <w:shd w:val="clear" w:color="auto" w:fill="E8EDF6"/>
          </w:tcPr>
          <w:p>
            <w:pPr>
              <w:pStyle w:val="Compact"/>
              <w:spacing w:after="20" w:line="276" w:lineRule="auto"/>
              <w:jc w:val="left"/>
            </w:pPr>
            <w:r>
              <w:rPr>
                <w:b/>
                <w:sz w:val="19"/>
              </w:rPr>
              <w:t xml:space="preserve">依據</w:t>
            </w:r>
          </w:p>
        </w:tc>
      </w:tr>
      <w:tr>
        <w:tc>
          <w:tcPr/>
          <w:p>
            <w:pPr>
              <w:pStyle w:val="Compact"/>
              <w:spacing w:after="20" w:line="276" w:lineRule="auto"/>
              <w:jc w:val="left"/>
            </w:pPr>
            <w:r>
              <w:rPr>
                <w:sz w:val="19"/>
              </w:rPr>
              <w:t xml:space="preserve">作物判釋</w:t>
            </w:r>
          </w:p>
        </w:tc>
        <w:tc>
          <w:tcPr/>
          <w:p>
            <w:pPr>
              <w:pStyle w:val="Compact"/>
              <w:spacing w:after="20" w:line="276" w:lineRule="auto"/>
              <w:jc w:val="left"/>
            </w:pPr>
            <w:r>
              <w:rPr>
                <w:sz w:val="19"/>
              </w:rPr>
              <w:t xml:space="preserve">時序 Transformer（60 萬坵塊基準準確率 0.80）</w:t>
            </w:r>
          </w:p>
        </w:tc>
        <w:tc>
          <w:tcPr/>
          <w:p>
            <w:pPr>
              <w:pStyle w:val="Compact"/>
              <w:spacing w:after="20" w:line="276" w:lineRule="auto"/>
              <w:jc w:val="left"/>
            </w:pPr>
            <w:r>
              <w:rPr>
                <w:sz w:val="19"/>
              </w:rPr>
              <w:t xml:space="preserve">〔54〕〔55〕</w:t>
            </w:r>
          </w:p>
        </w:tc>
      </w:tr>
      <w:tr>
        <w:tc>
          <w:tcPr/>
          <w:p>
            <w:pPr>
              <w:pStyle w:val="Compact"/>
              <w:spacing w:after="20" w:line="276" w:lineRule="auto"/>
              <w:jc w:val="left"/>
            </w:pPr>
            <w:r>
              <w:rPr>
                <w:sz w:val="19"/>
              </w:rPr>
              <w:t xml:space="preserve">淹水</w:t>
            </w:r>
          </w:p>
        </w:tc>
        <w:tc>
          <w:tcPr/>
          <w:p>
            <w:pPr>
              <w:pStyle w:val="Compact"/>
              <w:spacing w:after="20" w:line="276" w:lineRule="auto"/>
              <w:jc w:val="left"/>
            </w:pPr>
            <w:r>
              <w:rPr>
                <w:sz w:val="19"/>
              </w:rPr>
              <w:t xml:space="preserve">Otsu 門檻、時序異常、微調 Prithvi 三法投票</w:t>
            </w:r>
          </w:p>
        </w:tc>
        <w:tc>
          <w:tcPr/>
          <w:p>
            <w:pPr>
              <w:pStyle w:val="Compact"/>
              <w:spacing w:after="20" w:line="276" w:lineRule="auto"/>
              <w:jc w:val="left"/>
            </w:pPr>
            <w:r>
              <w:rPr>
                <w:sz w:val="19"/>
              </w:rPr>
              <w:t xml:space="preserve">〔56〕〔57〕〔58〕</w:t>
            </w:r>
          </w:p>
        </w:tc>
      </w:tr>
      <w:tr>
        <w:tc>
          <w:tcPr/>
          <w:p>
            <w:pPr>
              <w:pStyle w:val="Compact"/>
              <w:spacing w:after="20" w:line="276" w:lineRule="auto"/>
              <w:jc w:val="left"/>
            </w:pPr>
            <w:r>
              <w:rPr>
                <w:sz w:val="19"/>
              </w:rPr>
              <w:t xml:space="preserve">倒伏</w:t>
            </w:r>
          </w:p>
        </w:tc>
        <w:tc>
          <w:tcPr/>
          <w:p>
            <w:pPr>
              <w:pStyle w:val="Compact"/>
              <w:spacing w:after="20" w:line="276" w:lineRule="auto"/>
              <w:jc w:val="left"/>
            </w:pPr>
            <w:r>
              <w:rPr>
                <w:sz w:val="19"/>
              </w:rPr>
              <w:t xml:space="preserve">VH 對數比值＋隱馬可夫隨機場</w:t>
            </w:r>
          </w:p>
        </w:tc>
        <w:tc>
          <w:tcPr/>
          <w:p>
            <w:pPr>
              <w:pStyle w:val="Compact"/>
              <w:spacing w:after="20" w:line="276" w:lineRule="auto"/>
              <w:jc w:val="left"/>
            </w:pPr>
            <w:r>
              <w:rPr>
                <w:sz w:val="19"/>
              </w:rPr>
              <w:t xml:space="preserve">〔59〕〔60〕</w:t>
            </w:r>
          </w:p>
        </w:tc>
      </w:tr>
      <w:tr>
        <w:tc>
          <w:tcPr/>
          <w:p>
            <w:pPr>
              <w:pStyle w:val="Compact"/>
              <w:spacing w:after="20" w:line="276" w:lineRule="auto"/>
              <w:jc w:val="left"/>
            </w:pPr>
            <w:r>
              <w:rPr>
                <w:sz w:val="19"/>
              </w:rPr>
              <w:t xml:space="preserve">埋沒、流失</w:t>
            </w:r>
          </w:p>
        </w:tc>
        <w:tc>
          <w:tcPr/>
          <w:p>
            <w:pPr>
              <w:pStyle w:val="Compact"/>
              <w:spacing w:after="20" w:line="276" w:lineRule="auto"/>
              <w:jc w:val="left"/>
            </w:pPr>
            <w:r>
              <w:rPr>
                <w:sz w:val="19"/>
              </w:rPr>
              <w:t xml:space="preserve">同調性下降門檻 0.5（菲律賓案例吻合 93%）</w:t>
            </w:r>
          </w:p>
        </w:tc>
        <w:tc>
          <w:tcPr/>
          <w:p>
            <w:pPr>
              <w:pStyle w:val="Compact"/>
              <w:spacing w:after="20" w:line="276" w:lineRule="auto"/>
              <w:jc w:val="left"/>
            </w:pPr>
            <w:r>
              <w:rPr>
                <w:sz w:val="19"/>
              </w:rPr>
              <w:t xml:space="preserve">〔61〕</w:t>
            </w:r>
          </w:p>
        </w:tc>
      </w:tr>
      <w:tr>
        <w:tc>
          <w:tcPr/>
          <w:p>
            <w:pPr>
              <w:pStyle w:val="Compact"/>
              <w:spacing w:after="20" w:line="276" w:lineRule="auto"/>
              <w:jc w:val="left"/>
            </w:pPr>
            <w:r>
              <w:rPr>
                <w:sz w:val="19"/>
              </w:rPr>
              <w:t xml:space="preserve">植生受損</w:t>
            </w:r>
          </w:p>
        </w:tc>
        <w:tc>
          <w:tcPr/>
          <w:p>
            <w:pPr>
              <w:pStyle w:val="Compact"/>
              <w:spacing w:after="20" w:line="276" w:lineRule="auto"/>
              <w:jc w:val="left"/>
            </w:pPr>
            <w:r>
              <w:rPr>
                <w:sz w:val="19"/>
              </w:rPr>
              <w:t xml:space="preserve">相對往年同期與鄰田的標準分數</w:t>
            </w:r>
          </w:p>
        </w:tc>
        <w:tc>
          <w:tcPr/>
          <w:p>
            <w:pPr>
              <w:pStyle w:val="Compact"/>
              <w:spacing w:after="20" w:line="276" w:lineRule="auto"/>
              <w:jc w:val="left"/>
            </w:pPr>
            <w:r>
              <w:rPr>
                <w:sz w:val="19"/>
              </w:rPr>
              <w:t xml:space="preserve">〔4〕</w:t>
            </w:r>
          </w:p>
        </w:tc>
      </w:tr>
      <w:tr>
        <w:tc>
          <w:tcPr/>
          <w:p>
            <w:pPr>
              <w:pStyle w:val="Compact"/>
              <w:spacing w:after="20" w:line="276" w:lineRule="auto"/>
              <w:jc w:val="left"/>
            </w:pPr>
            <w:r>
              <w:rPr>
                <w:sz w:val="19"/>
              </w:rPr>
              <w:t xml:space="preserve">損失區間</w:t>
            </w:r>
          </w:p>
        </w:tc>
        <w:tc>
          <w:tcPr/>
          <w:p>
            <w:pPr>
              <w:pStyle w:val="Compact"/>
              <w:spacing w:after="20" w:line="276" w:lineRule="auto"/>
              <w:jc w:val="left"/>
            </w:pPr>
            <w:r>
              <w:rPr>
                <w:sz w:val="19"/>
              </w:rPr>
              <w:t xml:space="preserve">分位數梯度提升樹，輸出第 10、50、90 百分位</w:t>
            </w:r>
          </w:p>
        </w:tc>
        <w:tc>
          <w:tcPr/>
          <w:p>
            <w:pPr>
              <w:pStyle w:val="Compact"/>
              <w:spacing w:after="20" w:line="276" w:lineRule="auto"/>
              <w:jc w:val="left"/>
            </w:pPr>
            <w:r>
              <w:rPr>
                <w:sz w:val="19"/>
              </w:rPr>
              <w:t xml:space="preserve">〔62〕〔63〕</w:t>
            </w:r>
          </w:p>
        </w:tc>
      </w:tr>
    </w:tbl>
    <w:p>
      <w:pPr>
        <w:pStyle w:val="BodyText"/>
        <w:jc w:val="both"/>
      </w:pPr>
      <w:r>
        <w:t xml:space="preserve">魚塭的損失在水下，本作品改以六種訊號證明在養與受災方式（表 8）。災前在養（強證據加放養申報）且整池溢堤、潰堤或池水流失者判 A；僅有間接訊號者列 C 並依停電天數排序。</w:t>
      </w:r>
    </w:p>
    <w:p>
      <w:pPr>
        <w:pStyle w:val="BodyText"/>
        <w:keepNext/>
        <w:spacing w:before="160"/>
        <w:jc w:val="both"/>
      </w:pPr>
      <w:r>
        <w:rPr>
          <w:bCs/>
          <w:rFonts w:ascii="Times New Roman" w:hAnsi="Times New Roman" w:eastAsia="微軟正黑體"/>
          <w:b/>
          <w:sz w:val="20"/>
        </w:rPr>
        <w:t xml:space="preserve">表 8　魚塭判讀訊號</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2640"/>
        <w:gridCol w:w="2640"/>
        <w:gridCol w:w="2640"/>
      </w:tblGrid>
      <w:tr>
        <w:trPr>
          <w:tblHeader w:val="true"/>
        </w:trPr>
        <w:tc>
          <w:tcPr>
            <w:shd w:val="clear" w:color="auto" w:fill="E8EDF6"/>
          </w:tcPr>
          <w:p>
            <w:pPr>
              <w:pStyle w:val="Compact"/>
              <w:spacing w:after="20" w:line="276" w:lineRule="auto"/>
              <w:jc w:val="left"/>
            </w:pPr>
            <w:r>
              <w:rPr>
                <w:b/>
                <w:sz w:val="19"/>
              </w:rPr>
              <w:t xml:space="preserve">訊號</w:t>
            </w:r>
          </w:p>
        </w:tc>
        <w:tc>
          <w:tcPr>
            <w:shd w:val="clear" w:color="auto" w:fill="E8EDF6"/>
          </w:tcPr>
          <w:p>
            <w:pPr>
              <w:pStyle w:val="Compact"/>
              <w:spacing w:after="20" w:line="276" w:lineRule="auto"/>
              <w:jc w:val="left"/>
            </w:pPr>
            <w:r>
              <w:rPr>
                <w:b/>
                <w:sz w:val="19"/>
              </w:rPr>
              <w:t xml:space="preserve">方法</w:t>
            </w:r>
          </w:p>
        </w:tc>
        <w:tc>
          <w:tcPr>
            <w:shd w:val="clear" w:color="auto" w:fill="E8EDF6"/>
          </w:tcPr>
          <w:p>
            <w:pPr>
              <w:pStyle w:val="Compact"/>
              <w:spacing w:after="20" w:line="276" w:lineRule="auto"/>
              <w:jc w:val="left"/>
            </w:pPr>
            <w:r>
              <w:rPr>
                <w:b/>
                <w:sz w:val="19"/>
              </w:rPr>
              <w:t xml:space="preserve">證明</w:t>
            </w:r>
          </w:p>
        </w:tc>
      </w:tr>
      <w:tr>
        <w:tc>
          <w:tcPr/>
          <w:p>
            <w:pPr>
              <w:pStyle w:val="Compact"/>
              <w:spacing w:after="20" w:line="276" w:lineRule="auto"/>
              <w:jc w:val="left"/>
            </w:pPr>
            <w:r>
              <w:rPr>
                <w:sz w:val="19"/>
              </w:rPr>
              <w:t xml:space="preserve">魚塭坵塊</w:t>
            </w:r>
          </w:p>
        </w:tc>
        <w:tc>
          <w:tcPr/>
          <w:p>
            <w:pPr>
              <w:pStyle w:val="Compact"/>
              <w:spacing w:after="20" w:line="276" w:lineRule="auto"/>
              <w:jc w:val="left"/>
            </w:pPr>
            <w:r>
              <w:rPr>
                <w:sz w:val="19"/>
              </w:rPr>
              <w:t xml:space="preserve">VH 中位數＋Otsu＋形狀過濾（亞洲沿海準確率 91.9%）〔64〕</w:t>
            </w:r>
          </w:p>
        </w:tc>
        <w:tc>
          <w:tcPr/>
          <w:p>
            <w:pPr>
              <w:pStyle w:val="Compact"/>
              <w:spacing w:after="20" w:line="276" w:lineRule="auto"/>
              <w:jc w:val="left"/>
            </w:pPr>
            <w:r>
              <w:rPr>
                <w:sz w:val="19"/>
              </w:rPr>
              <w:t xml:space="preserve">是魚塭與面積</w:t>
            </w:r>
          </w:p>
        </w:tc>
      </w:tr>
      <w:tr>
        <w:tc>
          <w:tcPr/>
          <w:p>
            <w:pPr>
              <w:pStyle w:val="Compact"/>
              <w:spacing w:after="20" w:line="276" w:lineRule="auto"/>
              <w:jc w:val="left"/>
            </w:pPr>
            <w:r>
              <w:rPr>
                <w:sz w:val="19"/>
              </w:rPr>
              <w:t xml:space="preserve">在養狀態</w:t>
            </w:r>
          </w:p>
        </w:tc>
        <w:tc>
          <w:tcPr/>
          <w:p>
            <w:pPr>
              <w:pStyle w:val="Compact"/>
              <w:spacing w:after="20" w:line="276" w:lineRule="auto"/>
              <w:jc w:val="left"/>
            </w:pPr>
            <w:r>
              <w:rPr>
                <w:sz w:val="19"/>
              </w:rPr>
              <w:t xml:space="preserve">福衛八號偵測水車、餵飼台〔65〕</w:t>
            </w:r>
          </w:p>
        </w:tc>
        <w:tc>
          <w:tcPr/>
          <w:p>
            <w:pPr>
              <w:pStyle w:val="Compact"/>
              <w:spacing w:after="20" w:line="276" w:lineRule="auto"/>
              <w:jc w:val="left"/>
            </w:pPr>
            <w:r>
              <w:rPr>
                <w:sz w:val="19"/>
              </w:rPr>
              <w:t xml:space="preserve">災前在養</w:t>
            </w:r>
          </w:p>
        </w:tc>
      </w:tr>
      <w:tr>
        <w:tc>
          <w:tcPr/>
          <w:p>
            <w:pPr>
              <w:pStyle w:val="Compact"/>
              <w:spacing w:after="20" w:line="276" w:lineRule="auto"/>
              <w:jc w:val="left"/>
            </w:pPr>
            <w:r>
              <w:rPr>
                <w:sz w:val="19"/>
              </w:rPr>
              <w:t xml:space="preserve">溢堤、潰堤</w:t>
            </w:r>
          </w:p>
        </w:tc>
        <w:tc>
          <w:tcPr/>
          <w:p>
            <w:pPr>
              <w:pStyle w:val="Compact"/>
              <w:spacing w:after="20" w:line="276" w:lineRule="auto"/>
              <w:jc w:val="left"/>
            </w:pPr>
            <w:r>
              <w:rPr>
                <w:sz w:val="19"/>
              </w:rPr>
              <w:t xml:space="preserve">淹水三法；堤岸被淹 ≥ 80%</w:t>
            </w:r>
          </w:p>
        </w:tc>
        <w:tc>
          <w:tcPr/>
          <w:p>
            <w:pPr>
              <w:pStyle w:val="Compact"/>
              <w:spacing w:after="20" w:line="276" w:lineRule="auto"/>
              <w:jc w:val="left"/>
            </w:pPr>
            <w:r>
              <w:rPr>
                <w:sz w:val="19"/>
              </w:rPr>
              <w:t xml:space="preserve">災害波及此池</w:t>
            </w:r>
          </w:p>
        </w:tc>
      </w:tr>
      <w:tr>
        <w:tc>
          <w:tcPr/>
          <w:p>
            <w:pPr>
              <w:pStyle w:val="Compact"/>
              <w:spacing w:after="20" w:line="276" w:lineRule="auto"/>
              <w:jc w:val="left"/>
            </w:pPr>
            <w:r>
              <w:rPr>
                <w:sz w:val="19"/>
              </w:rPr>
              <w:t xml:space="preserve">池水流失</w:t>
            </w:r>
          </w:p>
        </w:tc>
        <w:tc>
          <w:tcPr/>
          <w:p>
            <w:pPr>
              <w:pStyle w:val="Compact"/>
              <w:spacing w:after="20" w:line="276" w:lineRule="auto"/>
              <w:jc w:val="left"/>
            </w:pPr>
            <w:r>
              <w:rPr>
                <w:sz w:val="19"/>
              </w:rPr>
              <w:t xml:space="preserve">水面少一半以上且無收成申報</w:t>
            </w:r>
          </w:p>
        </w:tc>
        <w:tc>
          <w:tcPr/>
          <w:p>
            <w:pPr>
              <w:pStyle w:val="Compact"/>
              <w:spacing w:after="20" w:line="276" w:lineRule="auto"/>
              <w:jc w:val="left"/>
            </w:pPr>
            <w:r>
              <w:rPr>
                <w:sz w:val="19"/>
              </w:rPr>
              <w:t xml:space="preserve">堤岸破損</w:t>
            </w:r>
          </w:p>
        </w:tc>
      </w:tr>
      <w:tr>
        <w:tc>
          <w:tcPr/>
          <w:p>
            <w:pPr>
              <w:pStyle w:val="Compact"/>
              <w:spacing w:after="20" w:line="276" w:lineRule="auto"/>
              <w:jc w:val="left"/>
            </w:pPr>
            <w:r>
              <w:rPr>
                <w:sz w:val="19"/>
              </w:rPr>
              <w:t xml:space="preserve">停電</w:t>
            </w:r>
          </w:p>
        </w:tc>
        <w:tc>
          <w:tcPr/>
          <w:p>
            <w:pPr>
              <w:pStyle w:val="Compact"/>
              <w:spacing w:after="20" w:line="276" w:lineRule="auto"/>
              <w:jc w:val="left"/>
            </w:pPr>
            <w:r>
              <w:rPr>
                <w:sz w:val="19"/>
              </w:rPr>
              <w:t xml:space="preserve">夜間燈光低於災前中位數一半〔66〕〔67〕</w:t>
            </w:r>
          </w:p>
        </w:tc>
        <w:tc>
          <w:tcPr/>
          <w:p>
            <w:pPr>
              <w:pStyle w:val="Compact"/>
              <w:spacing w:after="20" w:line="276" w:lineRule="auto"/>
              <w:jc w:val="left"/>
            </w:pPr>
            <w:r>
              <w:rPr>
                <w:sz w:val="19"/>
              </w:rPr>
              <w:t xml:space="preserve">增氧機可能停擺</w:t>
            </w:r>
          </w:p>
        </w:tc>
      </w:tr>
      <w:tr>
        <w:tc>
          <w:tcPr/>
          <w:p>
            <w:pPr>
              <w:pStyle w:val="Compact"/>
              <w:spacing w:after="20" w:line="276" w:lineRule="auto"/>
              <w:jc w:val="left"/>
            </w:pPr>
            <w:r>
              <w:rPr>
                <w:sz w:val="19"/>
              </w:rPr>
              <w:t xml:space="preserve">水色異常</w:t>
            </w:r>
          </w:p>
        </w:tc>
        <w:tc>
          <w:tcPr/>
          <w:p>
            <w:pPr>
              <w:pStyle w:val="Compact"/>
              <w:spacing w:after="20" w:line="276" w:lineRule="auto"/>
              <w:jc w:val="left"/>
            </w:pPr>
            <w:r>
              <w:rPr>
                <w:sz w:val="19"/>
              </w:rPr>
              <w:t xml:space="preserve">偏離自身正常範圍 3 個標準差</w:t>
            </w:r>
          </w:p>
        </w:tc>
        <w:tc>
          <w:tcPr/>
          <w:p>
            <w:pPr>
              <w:pStyle w:val="Compact"/>
              <w:spacing w:after="20" w:line="276" w:lineRule="auto"/>
              <w:jc w:val="left"/>
            </w:pPr>
            <w:r>
              <w:rPr>
                <w:sz w:val="19"/>
              </w:rPr>
              <w:t xml:space="preserve">可能大量死亡</w:t>
            </w:r>
          </w:p>
        </w:tc>
      </w:tr>
    </w:tbl>
    <w:p>
      <w:pPr>
        <w:pStyle w:val="BodyText"/>
        <w:jc w:val="both"/>
      </w:pPr>
      <w:r>
        <w:t xml:space="preserve">救助發放對象為「實際從事生產之自然人」〔77〕，但衛星觀測的是一塊田、地籍記錄的是一筆地號，三者未必一致。本作品以實際耕作坵塊為判讀單位，三者無法對應者均交公所判斷（表 9）。</w:t>
      </w:r>
    </w:p>
    <w:p>
      <w:pPr>
        <w:pStyle w:val="BodyText"/>
        <w:keepNext/>
        <w:spacing w:before="160"/>
        <w:jc w:val="both"/>
      </w:pPr>
      <w:r>
        <w:rPr>
          <w:bCs/>
          <w:rFonts w:ascii="Times New Roman" w:hAnsi="Times New Roman" w:eastAsia="微軟正黑體"/>
          <w:b/>
          <w:sz w:val="20"/>
        </w:rPr>
        <w:t xml:space="preserve">表 9　地號、坵塊與實際耕作的落差及處理</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3960"/>
        <w:gridCol w:w="3960"/>
      </w:tblGrid>
      <w:tr>
        <w:trPr>
          <w:tblHeader w:val="true"/>
        </w:trPr>
        <w:tc>
          <w:tcPr>
            <w:shd w:val="clear" w:color="auto" w:fill="E8EDF6"/>
          </w:tcPr>
          <w:p>
            <w:pPr>
              <w:pStyle w:val="Compact"/>
              <w:spacing w:after="20" w:line="276" w:lineRule="auto"/>
              <w:jc w:val="left"/>
            </w:pPr>
            <w:r>
              <w:rPr>
                <w:b/>
                <w:sz w:val="19"/>
              </w:rPr>
              <w:t xml:space="preserve">落差</w:t>
            </w:r>
          </w:p>
        </w:tc>
        <w:tc>
          <w:tcPr>
            <w:shd w:val="clear" w:color="auto" w:fill="E8EDF6"/>
          </w:tcPr>
          <w:p>
            <w:pPr>
              <w:pStyle w:val="Compact"/>
              <w:spacing w:after="20" w:line="276" w:lineRule="auto"/>
              <w:jc w:val="left"/>
            </w:pPr>
            <w:r>
              <w:rPr>
                <w:b/>
                <w:sz w:val="19"/>
              </w:rPr>
              <w:t xml:space="preserve">處理方式</w:t>
            </w:r>
          </w:p>
        </w:tc>
      </w:tr>
      <w:tr>
        <w:tc>
          <w:tcPr/>
          <w:p>
            <w:pPr>
              <w:pStyle w:val="Compact"/>
              <w:spacing w:after="20" w:line="276" w:lineRule="auto"/>
              <w:jc w:val="left"/>
            </w:pPr>
            <w:r>
              <w:rPr>
                <w:sz w:val="19"/>
              </w:rPr>
              <w:t xml:space="preserve">一筆地號種多種作物</w:t>
            </w:r>
          </w:p>
        </w:tc>
        <w:tc>
          <w:tcPr/>
          <w:p>
            <w:pPr>
              <w:pStyle w:val="Compact"/>
              <w:spacing w:after="20" w:line="276" w:lineRule="auto"/>
              <w:jc w:val="left"/>
            </w:pPr>
            <w:r>
              <w:rPr>
                <w:sz w:val="19"/>
              </w:rPr>
              <w:t xml:space="preserve">以坵塊為單位，不同作物分開判讀</w:t>
            </w:r>
          </w:p>
        </w:tc>
      </w:tr>
      <w:tr>
        <w:tc>
          <w:tcPr/>
          <w:p>
            <w:pPr>
              <w:pStyle w:val="Compact"/>
              <w:spacing w:after="20" w:line="276" w:lineRule="auto"/>
              <w:jc w:val="left"/>
            </w:pPr>
            <w:r>
              <w:rPr>
                <w:sz w:val="19"/>
              </w:rPr>
              <w:t xml:space="preserve">一塊田跨多筆地號</w:t>
            </w:r>
          </w:p>
        </w:tc>
        <w:tc>
          <w:tcPr/>
          <w:p>
            <w:pPr>
              <w:pStyle w:val="Compact"/>
              <w:spacing w:after="20" w:line="276" w:lineRule="auto"/>
              <w:jc w:val="left"/>
            </w:pPr>
            <w:r>
              <w:rPr>
                <w:sz w:val="19"/>
              </w:rPr>
              <w:t xml:space="preserve">以坵塊判讀，再依面積比例分攤回各地號</w:t>
            </w:r>
          </w:p>
        </w:tc>
      </w:tr>
      <w:tr>
        <w:tc>
          <w:tcPr/>
          <w:p>
            <w:pPr>
              <w:pStyle w:val="Compact"/>
              <w:spacing w:after="20" w:line="276" w:lineRule="auto"/>
              <w:jc w:val="left"/>
            </w:pPr>
            <w:r>
              <w:rPr>
                <w:sz w:val="19"/>
              </w:rPr>
              <w:t xml:space="preserve">地號夾雜農路、建物、未種植區</w:t>
            </w:r>
          </w:p>
        </w:tc>
        <w:tc>
          <w:tcPr/>
          <w:p>
            <w:pPr>
              <w:pStyle w:val="Compact"/>
              <w:spacing w:after="20" w:line="276" w:lineRule="auto"/>
              <w:jc w:val="left"/>
            </w:pPr>
            <w:r>
              <w:rPr>
                <w:sz w:val="19"/>
              </w:rPr>
              <w:t xml:space="preserve">登錄時扣除並顯示佔比；差距過大列 C（面積不符）</w:t>
            </w:r>
          </w:p>
        </w:tc>
      </w:tr>
      <w:tr>
        <w:tc>
          <w:tcPr/>
          <w:p>
            <w:pPr>
              <w:pStyle w:val="Compact"/>
              <w:spacing w:after="20" w:line="276" w:lineRule="auto"/>
              <w:jc w:val="left"/>
            </w:pPr>
            <w:r>
              <w:rPr>
                <w:sz w:val="19"/>
              </w:rPr>
              <w:t xml:space="preserve">圖解地籍圖偏移〔80〕〔81〕</w:t>
            </w:r>
          </w:p>
        </w:tc>
        <w:tc>
          <w:tcPr/>
          <w:p>
            <w:pPr>
              <w:pStyle w:val="Compact"/>
              <w:spacing w:after="20" w:line="276" w:lineRule="auto"/>
              <w:jc w:val="left"/>
            </w:pPr>
            <w:r>
              <w:rPr>
                <w:sz w:val="19"/>
              </w:rPr>
              <w:t xml:space="preserve">加大內縮；誤差過大列 C（對位不確定），必要時鑑界</w:t>
            </w:r>
          </w:p>
        </w:tc>
      </w:tr>
      <w:tr>
        <w:tc>
          <w:tcPr/>
          <w:p>
            <w:pPr>
              <w:pStyle w:val="Compact"/>
              <w:spacing w:after="20" w:line="276" w:lineRule="auto"/>
              <w:jc w:val="left"/>
            </w:pPr>
            <w:r>
              <w:rPr>
                <w:sz w:val="19"/>
              </w:rPr>
              <w:t xml:space="preserve">申請人不是地主〔78〕</w:t>
            </w:r>
          </w:p>
        </w:tc>
        <w:tc>
          <w:tcPr/>
          <w:p>
            <w:pPr>
              <w:pStyle w:val="Compact"/>
              <w:spacing w:after="20" w:line="276" w:lineRule="auto"/>
              <w:jc w:val="left"/>
            </w:pPr>
            <w:r>
              <w:rPr>
                <w:sz w:val="19"/>
              </w:rPr>
              <w:t xml:space="preserve">天相星只證明有種與受損；使用權由公所依文件認定</w:t>
            </w:r>
          </w:p>
        </w:tc>
      </w:tr>
    </w:tbl>
    <w:p>
      <w:pPr>
        <w:pStyle w:val="BodyText"/>
        <w:jc w:val="both"/>
      </w:pPr>
      <w:r>
        <w:t xml:space="preserve">每份存證報告並記錄原始影像、處理參數、模型版本、人工處理與案號對應五層資料來源，使審計或申覆時可重算；即使衛星看不到損失（如寒害空果〔92〕），仍能證明災前有種，配合天氣參數仍可能走免勘程序〔3〕。</w:t>
      </w:r>
    </w:p>
    <w:p>
      <w:pPr>
        <w:pStyle w:val="BodyText"/>
        <w:keepNext/>
        <w:spacing w:before="160"/>
        <w:jc w:val="both"/>
      </w:pPr>
      <w:r>
        <w:rPr>
          <w:bCs/>
          <w:rFonts w:ascii="Times New Roman" w:hAnsi="Times New Roman" w:eastAsia="微軟正黑體"/>
          <w:b/>
          <w:color w:val="14213D"/>
        </w:rPr>
        <w:t xml:space="preserve">(2) 真實影像案例：丹娜絲颱風（嘉義布袋至臺南北門）</w:t>
      </w:r>
    </w:p>
    <w:p>
      <w:pPr>
        <w:pStyle w:val="BodyText"/>
        <w:jc w:val="both"/>
      </w:pPr>
      <w:r>
        <w:rPr>
          <w:bCs/>
          <w:b/>
        </w:rPr>
        <w:t xml:space="preserve">以免費衛星影像比對丹娜絲登陸點周邊約 25,450 公頃，標出約 480 公頃植生較往年同期明顯下降、約 157 公頃雷達疑似積水；若不扣除往年同期，植生下降面積為 899 公頃。</w:t>
      </w:r>
    </w:p>
    <w:p>
      <w:pPr>
        <w:pStyle w:val="BodyText"/>
        <w:jc w:val="both"/>
      </w:pPr>
      <w:r>
        <w:t xml:space="preserve">除模擬工況外，團隊以真實衛星影像完成一組災前災後比對。丹娜絲在嘉義沿海以強風、停電與局部積水為主〔83〕〔137〕，颱風後連日有雲，符合本作品預設以雷達為第一手資料的典型情境。團隊以 Microsoft Planetary Computer 提供的 Sentinel-1 RTC 與 Sentinel-2 L2A 影像〔136〕，對 2025 年 7 月 6 日深夜登陸點周邊約 15 × 17 公里（東經 120.10–120.25°、北緯 23.25–23.40°）進行災前災後比對〔135〕。雷達以 6 月 4 日至 7 月 4 日同軌道 6 期影像為災前基準，災後採登陸後第 4 天（7 月 10 日）的第一張影像；光學採 6 月 28 日與 7 月 18 日（登陸後第 12 天，為颱風後首張雲量較少的影像），並以 2024 年 7 月 3 日至 18 日的同期變化作為正常收割的基準（圖 15）。</w:t>
      </w:r>
    </w:p>
    <w:p>
      <w:pPr>
        <w:pStyle w:val="BodyText"/>
        <w:keepNext/>
        <w:jc w:val="center"/>
      </w:pPr>
      <w:r>
        <w:drawing>
          <wp:inline>
            <wp:extent cx="5334000" cy="1912598"/>
            <wp:effectExtent b="0" l="0" r="0" t="0"/>
            <wp:docPr descr="" title="" id="73" name="Picture"/>
            <a:graphic>
              <a:graphicData uri="http://schemas.openxmlformats.org/drawingml/2006/picture">
                <pic:pic>
                  <pic:nvPicPr>
                    <pic:cNvPr descr="charts/n24_danas_overview.png" id="74" name="Picture"/>
                    <pic:cNvPicPr>
                      <a:picLocks noChangeArrowheads="1" noChangeAspect="1"/>
                    </pic:cNvPicPr>
                  </pic:nvPicPr>
                  <pic:blipFill>
                    <a:blip r:embed="rId72"/>
                    <a:stretch>
                      <a:fillRect/>
                    </a:stretch>
                  </pic:blipFill>
                  <pic:spPr bwMode="auto">
                    <a:xfrm>
                      <a:off x="0" y="0"/>
                      <a:ext cx="5334000" cy="1912598"/>
                    </a:xfrm>
                    <a:prstGeom prst="rect">
                      <a:avLst/>
                    </a:prstGeom>
                    <a:noFill/>
                    <a:ln w="9525">
                      <a:noFill/>
                      <a:headEnd/>
                      <a:tailEnd/>
                    </a:ln>
                  </pic:spPr>
                </pic:pic>
              </a:graphicData>
            </a:graphic>
          </wp:inline>
        </w:drawing>
      </w:r>
    </w:p>
    <w:p>
      <w:pPr>
        <w:pStyle w:val="BodyText"/>
        <w:spacing w:after="200"/>
        <w:jc w:val="both"/>
      </w:pPr>
      <w:r>
        <w:rPr>
          <w:bCs/>
          <w:b/>
          <w:sz w:val="19"/>
        </w:rPr>
        <w:t xml:space="preserve">圖 15　丹娜絲研究區總覽。</w:t>
      </w:r>
      <w:r>
        <w:rPr>
          <w:sz w:val="19"/>
        </w:rPr>
        <w:t xml:space="preserve"> </w:t>
      </w:r>
      <w:r>
        <w:rPr>
          <w:sz w:val="19"/>
        </w:rPr>
        <w:t xml:space="preserve">左起為颱風前光學（6/15）、颱風後光學（7/18）、颱風後雷達（7/10）；黃框 A–E 為放大區。颱風後光學影像多處受雲遮蔽，雷達影像完整。影像：Contains modified Copernicus Sentinel data 2024–2025, processed by Microsoft Planetary Computer〔136〕。</w:t>
      </w:r>
    </w:p>
    <w:p>
      <w:pPr>
        <w:pStyle w:val="BodyText"/>
        <w:keepNext/>
        <w:spacing w:before="160"/>
        <w:jc w:val="both"/>
      </w:pPr>
      <w:r>
        <w:rPr>
          <w:bCs/>
          <w:rFonts w:ascii="Times New Roman" w:hAnsi="Times New Roman" w:eastAsia="微軟正黑體"/>
          <w:b/>
          <w:sz w:val="20"/>
        </w:rPr>
        <w:t xml:space="preserve">表 10　丹娜絲研究區的衛星變遷判讀結果</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2640"/>
        <w:gridCol w:w="2640"/>
        <w:gridCol w:w="2640"/>
      </w:tblGrid>
      <w:tr>
        <w:trPr>
          <w:tblHeader w:val="true"/>
        </w:trPr>
        <w:tc>
          <w:tcPr>
            <w:shd w:val="clear" w:color="auto" w:fill="E8EDF6"/>
          </w:tcPr>
          <w:p>
            <w:pPr>
              <w:pStyle w:val="Compact"/>
              <w:spacing w:after="20" w:line="276" w:lineRule="auto"/>
              <w:jc w:val="left"/>
            </w:pPr>
            <w:r>
              <w:rPr>
                <w:b/>
                <w:sz w:val="19"/>
              </w:rPr>
              <w:t xml:space="preserve">變化類型</w:t>
            </w:r>
          </w:p>
        </w:tc>
        <w:tc>
          <w:tcPr>
            <w:shd w:val="clear" w:color="auto" w:fill="E8EDF6"/>
          </w:tcPr>
          <w:p>
            <w:pPr>
              <w:pStyle w:val="Compact"/>
              <w:spacing w:after="20" w:line="276" w:lineRule="auto"/>
              <w:jc w:val="left"/>
            </w:pPr>
            <w:r>
              <w:rPr>
                <w:b/>
                <w:sz w:val="19"/>
              </w:rPr>
              <w:t xml:space="preserve">判讀方式</w:t>
            </w:r>
          </w:p>
        </w:tc>
        <w:tc>
          <w:tcPr>
            <w:shd w:val="clear" w:color="auto" w:fill="E8EDF6"/>
          </w:tcPr>
          <w:p>
            <w:pPr>
              <w:pStyle w:val="Compact"/>
              <w:spacing w:after="20" w:line="276" w:lineRule="auto"/>
              <w:jc w:val="left"/>
            </w:pPr>
            <w:r>
              <w:rPr>
                <w:b/>
                <w:sz w:val="19"/>
              </w:rPr>
              <w:t xml:space="preserve">面積</w:t>
            </w:r>
          </w:p>
        </w:tc>
      </w:tr>
      <w:tr>
        <w:tc>
          <w:tcPr/>
          <w:p>
            <w:pPr>
              <w:pStyle w:val="Compact"/>
              <w:spacing w:after="20" w:line="276" w:lineRule="auto"/>
              <w:jc w:val="left"/>
            </w:pPr>
            <w:r>
              <w:rPr>
                <w:sz w:val="19"/>
              </w:rPr>
              <w:t xml:space="preserve">植生較往年同期明顯下降</w:t>
            </w:r>
          </w:p>
        </w:tc>
        <w:tc>
          <w:tcPr/>
          <w:p>
            <w:pPr>
              <w:pStyle w:val="Compact"/>
              <w:spacing w:after="20" w:line="276" w:lineRule="auto"/>
              <w:jc w:val="left"/>
            </w:pPr>
            <w:r>
              <w:rPr>
                <w:sz w:val="19"/>
              </w:rPr>
              <w:t xml:space="preserve">Sentinel-2 NDVI 變化扣除 2024 年同期，多降 0.2 以上且連片約 0.2 公頃以上</w:t>
            </w:r>
          </w:p>
        </w:tc>
        <w:tc>
          <w:tcPr/>
          <w:p>
            <w:pPr>
              <w:pStyle w:val="Compact"/>
              <w:spacing w:after="20" w:line="276" w:lineRule="auto"/>
              <w:jc w:val="left"/>
            </w:pPr>
            <w:r>
              <w:rPr>
                <w:sz w:val="19"/>
              </w:rPr>
              <w:t xml:space="preserve">約 480 公頃（可比較作物 3,164 公頃的 15%）</w:t>
            </w:r>
          </w:p>
        </w:tc>
      </w:tr>
      <w:tr>
        <w:tc>
          <w:tcPr/>
          <w:p>
            <w:pPr>
              <w:pStyle w:val="Compact"/>
              <w:spacing w:after="20" w:line="276" w:lineRule="auto"/>
              <w:jc w:val="left"/>
            </w:pPr>
            <w:r>
              <w:rPr>
                <w:sz w:val="19"/>
              </w:rPr>
              <w:t xml:space="preserve">植生下降（僅看今年）</w:t>
            </w:r>
          </w:p>
        </w:tc>
        <w:tc>
          <w:tcPr/>
          <w:p>
            <w:pPr>
              <w:pStyle w:val="Compact"/>
              <w:spacing w:after="20" w:line="276" w:lineRule="auto"/>
              <w:jc w:val="left"/>
            </w:pPr>
            <w:r>
              <w:rPr>
                <w:sz w:val="19"/>
              </w:rPr>
              <w:t xml:space="preserve">未扣除往年同期</w:t>
            </w:r>
          </w:p>
        </w:tc>
        <w:tc>
          <w:tcPr/>
          <w:p>
            <w:pPr>
              <w:pStyle w:val="Compact"/>
              <w:spacing w:after="20" w:line="276" w:lineRule="auto"/>
              <w:jc w:val="left"/>
            </w:pPr>
            <w:r>
              <w:rPr>
                <w:sz w:val="19"/>
              </w:rPr>
              <w:t xml:space="preserve">約 899 公頃</w:t>
            </w:r>
          </w:p>
        </w:tc>
      </w:tr>
      <w:tr>
        <w:tc>
          <w:tcPr/>
          <w:p>
            <w:pPr>
              <w:pStyle w:val="Compact"/>
              <w:spacing w:after="20" w:line="276" w:lineRule="auto"/>
              <w:jc w:val="left"/>
            </w:pPr>
            <w:r>
              <w:rPr>
                <w:sz w:val="19"/>
              </w:rPr>
              <w:t xml:space="preserve">雷達明顯變暗、疑似積水</w:t>
            </w:r>
          </w:p>
        </w:tc>
        <w:tc>
          <w:tcPr/>
          <w:p>
            <w:pPr>
              <w:pStyle w:val="Compact"/>
              <w:spacing w:after="20" w:line="276" w:lineRule="auto"/>
              <w:jc w:val="left"/>
            </w:pPr>
            <w:r>
              <w:rPr>
                <w:sz w:val="19"/>
              </w:rPr>
              <w:t xml:space="preserve">Sentinel-1 災後影像與災前 6 期比較</w:t>
            </w:r>
          </w:p>
        </w:tc>
        <w:tc>
          <w:tcPr/>
          <w:p>
            <w:pPr>
              <w:pStyle w:val="Compact"/>
              <w:spacing w:after="20" w:line="276" w:lineRule="auto"/>
              <w:jc w:val="left"/>
            </w:pPr>
            <w:r>
              <w:rPr>
                <w:sz w:val="19"/>
              </w:rPr>
              <w:t xml:space="preserve">約 157 公頃（約 28% 暗至接近水面）</w:t>
            </w:r>
          </w:p>
        </w:tc>
      </w:tr>
      <w:tr>
        <w:tc>
          <w:tcPr/>
          <w:p>
            <w:pPr>
              <w:pStyle w:val="Compact"/>
              <w:spacing w:after="20" w:line="276" w:lineRule="auto"/>
              <w:jc w:val="left"/>
            </w:pPr>
            <w:r>
              <w:rPr>
                <w:sz w:val="19"/>
              </w:rPr>
              <w:t xml:space="preserve">高反射人造物變暗</w:t>
            </w:r>
          </w:p>
        </w:tc>
        <w:tc>
          <w:tcPr/>
          <w:p>
            <w:pPr>
              <w:pStyle w:val="Compact"/>
              <w:spacing w:after="20" w:line="276" w:lineRule="auto"/>
              <w:jc w:val="left"/>
            </w:pPr>
            <w:r>
              <w:rPr>
                <w:sz w:val="19"/>
              </w:rPr>
              <w:t xml:space="preserve">同上</w:t>
            </w:r>
          </w:p>
        </w:tc>
        <w:tc>
          <w:tcPr/>
          <w:p>
            <w:pPr>
              <w:pStyle w:val="Compact"/>
              <w:spacing w:after="20" w:line="276" w:lineRule="auto"/>
              <w:jc w:val="left"/>
            </w:pPr>
            <w:r>
              <w:rPr>
                <w:sz w:val="19"/>
              </w:rPr>
              <w:t xml:space="preserve">約 26 公頃</w:t>
            </w:r>
          </w:p>
        </w:tc>
      </w:tr>
      <w:tr>
        <w:tc>
          <w:tcPr/>
          <w:p>
            <w:pPr>
              <w:pStyle w:val="Compact"/>
              <w:spacing w:after="20" w:line="276" w:lineRule="auto"/>
              <w:jc w:val="left"/>
            </w:pPr>
            <w:r>
              <w:rPr>
                <w:sz w:val="19"/>
              </w:rPr>
              <w:t xml:space="preserve">兩種衛星皆標出</w:t>
            </w:r>
          </w:p>
        </w:tc>
        <w:tc>
          <w:tcPr/>
          <w:p>
            <w:pPr>
              <w:pStyle w:val="Compact"/>
              <w:spacing w:after="20" w:line="276" w:lineRule="auto"/>
              <w:jc w:val="left"/>
            </w:pPr>
            <w:r>
              <w:rPr>
                <w:sz w:val="19"/>
              </w:rPr>
              <w:t xml:space="preserve">疊合</w:t>
            </w:r>
          </w:p>
        </w:tc>
        <w:tc>
          <w:tcPr/>
          <w:p>
            <w:pPr>
              <w:pStyle w:val="Compact"/>
              <w:spacing w:after="20" w:line="276" w:lineRule="auto"/>
              <w:jc w:val="left"/>
            </w:pPr>
            <w:r>
              <w:rPr>
                <w:sz w:val="19"/>
              </w:rPr>
              <w:t xml:space="preserve">約 9 公頃</w:t>
            </w:r>
          </w:p>
        </w:tc>
      </w:tr>
    </w:tbl>
    <w:p>
      <w:pPr>
        <w:pStyle w:val="BodyText"/>
        <w:keepNext/>
        <w:jc w:val="center"/>
      </w:pPr>
      <w:r>
        <w:drawing>
          <wp:inline>
            <wp:extent cx="2613660" cy="2862784"/>
            <wp:effectExtent b="0" l="0" r="0" t="0"/>
            <wp:docPr descr="" title="" id="76" name="Picture"/>
            <a:graphic>
              <a:graphicData uri="http://schemas.openxmlformats.org/drawingml/2006/picture">
                <pic:pic>
                  <pic:nvPicPr>
                    <pic:cNvPr descr="charts/n25_danas_result.png" id="77" name="Picture"/>
                    <pic:cNvPicPr>
                      <a:picLocks noChangeArrowheads="1" noChangeAspect="1"/>
                    </pic:cNvPicPr>
                  </pic:nvPicPr>
                  <pic:blipFill>
                    <a:blip r:embed="rId75"/>
                    <a:stretch>
                      <a:fillRect/>
                    </a:stretch>
                  </pic:blipFill>
                  <pic:spPr bwMode="auto">
                    <a:xfrm>
                      <a:off x="0" y="0"/>
                      <a:ext cx="2613660" cy="2862784"/>
                    </a:xfrm>
                    <a:prstGeom prst="rect">
                      <a:avLst/>
                    </a:prstGeom>
                    <a:noFill/>
                    <a:ln w="9525">
                      <a:noFill/>
                      <a:headEnd/>
                      <a:tailEnd/>
                    </a:ln>
                  </pic:spPr>
                </pic:pic>
              </a:graphicData>
            </a:graphic>
          </wp:inline>
        </w:drawing>
      </w:r>
      <w:r>
        <w:t xml:space="preserve"> </w:t>
      </w:r>
      <w:r>
        <w:drawing>
          <wp:inline>
            <wp:extent cx="2613660" cy="2846216"/>
            <wp:effectExtent b="0" l="0" r="0" t="0"/>
            <wp:docPr descr="" title="" id="79" name="Picture"/>
            <a:graphic>
              <a:graphicData uri="http://schemas.openxmlformats.org/drawingml/2006/picture">
                <pic:pic>
                  <pic:nvPicPr>
                    <pic:cNvPr descr="charts/n26_danas_vegetation.png" id="80" name="Picture"/>
                    <pic:cNvPicPr>
                      <a:picLocks noChangeArrowheads="1" noChangeAspect="1"/>
                    </pic:cNvPicPr>
                  </pic:nvPicPr>
                  <pic:blipFill>
                    <a:blip r:embed="rId78"/>
                    <a:stretch>
                      <a:fillRect/>
                    </a:stretch>
                  </pic:blipFill>
                  <pic:spPr bwMode="auto">
                    <a:xfrm>
                      <a:off x="0" y="0"/>
                      <a:ext cx="2613660" cy="2846216"/>
                    </a:xfrm>
                    <a:prstGeom prst="rect">
                      <a:avLst/>
                    </a:prstGeom>
                    <a:noFill/>
                    <a:ln w="9525">
                      <a:noFill/>
                      <a:headEnd/>
                      <a:tailEnd/>
                    </a:ln>
                  </pic:spPr>
                </pic:pic>
              </a:graphicData>
            </a:graphic>
          </wp:inline>
        </w:drawing>
      </w:r>
    </w:p>
    <w:p>
      <w:pPr>
        <w:pStyle w:val="BodyText"/>
        <w:spacing w:after="200"/>
        <w:jc w:val="both"/>
      </w:pPr>
      <w:r>
        <w:rPr>
          <w:bCs/>
          <w:b/>
          <w:sz w:val="19"/>
        </w:rPr>
        <w:t xml:space="preserve">圖 16　丹娜絲判讀結果總圖（左）與放大區 C 的植生變化（右）。</w:t>
      </w:r>
      <w:r>
        <w:rPr>
          <w:sz w:val="19"/>
        </w:rPr>
        <w:t xml:space="preserve"> </w:t>
      </w:r>
      <w:r>
        <w:rPr>
          <w:sz w:val="19"/>
        </w:rPr>
        <w:t xml:space="preserve">左圖紅色為植生較往年同期明顯下降、藍色為雷達疑似積水、橘色為高反射人造物變暗、紫色為兩者皆有，淺灰為光學受雲遮蔽；右圖上排為颱風前後光學影像，下排為 NDVI，紅框為扣除往年同期後仍明顯下降的田〔135〕。</w:t>
      </w:r>
    </w:p>
    <w:p>
      <w:pPr>
        <w:pStyle w:val="BodyText"/>
        <w:keepNext/>
        <w:jc w:val="center"/>
      </w:pPr>
      <w:r>
        <w:drawing>
          <wp:inline>
            <wp:extent cx="5334000" cy="1930140"/>
            <wp:effectExtent b="0" l="0" r="0" t="0"/>
            <wp:docPr descr="" title="" id="82" name="Picture"/>
            <a:graphic>
              <a:graphicData uri="http://schemas.openxmlformats.org/drawingml/2006/picture">
                <pic:pic>
                  <pic:nvPicPr>
                    <pic:cNvPr descr="charts/n27_danas_water.png" id="83" name="Picture"/>
                    <pic:cNvPicPr>
                      <a:picLocks noChangeArrowheads="1" noChangeAspect="1"/>
                    </pic:cNvPicPr>
                  </pic:nvPicPr>
                  <pic:blipFill>
                    <a:blip r:embed="rId81"/>
                    <a:stretch>
                      <a:fillRect/>
                    </a:stretch>
                  </pic:blipFill>
                  <pic:spPr bwMode="auto">
                    <a:xfrm>
                      <a:off x="0" y="0"/>
                      <a:ext cx="5334000" cy="1930140"/>
                    </a:xfrm>
                    <a:prstGeom prst="rect">
                      <a:avLst/>
                    </a:prstGeom>
                    <a:noFill/>
                    <a:ln w="9525">
                      <a:noFill/>
                      <a:headEnd/>
                      <a:tailEnd/>
                    </a:ln>
                  </pic:spPr>
                </pic:pic>
              </a:graphicData>
            </a:graphic>
          </wp:inline>
        </w:drawing>
      </w:r>
    </w:p>
    <w:p>
      <w:pPr>
        <w:pStyle w:val="BodyText"/>
        <w:spacing w:after="200"/>
        <w:jc w:val="both"/>
      </w:pPr>
      <w:r>
        <w:rPr>
          <w:bCs/>
          <w:b/>
          <w:sz w:val="19"/>
        </w:rPr>
        <w:t xml:space="preserve">圖 17　放大區 D（約 1.6 × 1.8 公里）的雷達變化。</w:t>
      </w:r>
      <w:r>
        <w:rPr>
          <w:sz w:val="19"/>
        </w:rPr>
        <w:t xml:space="preserve"> </w:t>
      </w:r>
      <w:r>
        <w:rPr>
          <w:sz w:val="19"/>
        </w:rPr>
        <w:t xml:space="preserve">左為災前（6/28–7/4）、中為災後（7/10），黃框內的田由淺灰轉為深灰，右圖藍色為判定的疑似積水範圍〔135〕。</w:t>
      </w:r>
    </w:p>
    <w:p>
      <w:pPr>
        <w:pStyle w:val="BodyText"/>
        <w:jc w:val="both"/>
      </w:pPr>
      <w:r>
        <w:t xml:space="preserve">結果顯示三項與系統設計相關的現象（表 10、圖 16、圖 17）。第一，四期光學影像皆無雲、可供比較的面積僅約三分之一，颱風後的第一手資料須仰賴雷達。第二，7 月為一期稻收割期，僅看今年時植生下降面積為 899 公頃，扣除往年同期後為 480 公頃，近半數屬於正常收割，因此判讀以「相對往年同期」為基準〔4〕。第三，雷達與光學標出的範圍僅重疊約 9 公頃：雷達偵測地表轉為有水，光學偵測植生減少，作物倒伏未必積水，灌水整地與颱風前搶收也會產生相同訊號。衛星本身無法區分這些原因，故三道關卡要求兩種訊號與申報內容一致方可判 A，其餘列 C 交由公所判斷。另一放大區中，太陽能案場內一塊空地的雷達反射下降約 10 dB，補查颱風前 3 天的影像後確認該處災前已為空地，變化較可能來自物料或機具移動；衛星可指出位置的改變，原因仍須由現勘確認。</w:t>
      </w:r>
    </w:p>
    <w:p>
      <w:pPr>
        <w:pStyle w:val="BodyText"/>
        <w:jc w:val="both"/>
      </w:pPr>
      <w:r>
        <w:t xml:space="preserve">本案例尚有三項限制：未取得公所現勘結果或受災地號，無法計算精確度；雷達與光學分別晚於登陸 4 天與 12 天，最嚴重的積水可能已退；未套用農地範圍圖，海岸防風林等非農地植生約占植生下降面積的 6%。後續將以公所現勘結果校正門檻，並套用農業部農地覆蓋物資料庫限縮判讀範圍。</w:t>
      </w:r>
    </w:p>
    <w:p>
      <w:pPr>
        <w:pStyle w:val="BodyText"/>
        <w:keepNext/>
        <w:spacing w:before="160"/>
        <w:jc w:val="both"/>
      </w:pPr>
      <w:r>
        <w:rPr>
          <w:bCs/>
          <w:rFonts w:ascii="Times New Roman" w:hAnsi="Times New Roman" w:eastAsia="微軟正黑體"/>
          <w:b/>
          <w:color w:val="14213D"/>
        </w:rPr>
        <w:t xml:space="preserve">(3) 模擬工況驗證</w:t>
      </w:r>
    </w:p>
    <w:p>
      <w:pPr>
        <w:pStyle w:val="BodyText"/>
        <w:jc w:val="both"/>
      </w:pPr>
      <w:r>
        <w:rPr>
          <w:bCs/>
          <w:b/>
        </w:rPr>
        <w:t xml:space="preserve">模擬測試中 A、B 級沒有判反，區間覆蓋率 83%；此結果驗證流程與分級設計，真實精度仍須以實際影像驗證〔124〕。</w:t>
      </w:r>
    </w:p>
    <w:p>
      <w:pPr>
        <w:pStyle w:val="BodyText"/>
        <w:jc w:val="both"/>
      </w:pPr>
      <w:r>
        <w:t xml:space="preserve">為驗證流程與分級邏輯，本作品以約 850 行 Python 程式，在 2025 年丹娜絲情境下模擬嘉義沿海 83 個農田坵塊與臺南 40 口魚塭（2.4 × 2.4 公里、10 米像素），完整執行「前處理 → 坵塊化 → 判讀 → 三道關卡 → 分級 → 存證報告」〔124〕。結果如表 11 與圖 18：A、B 級無一判反，區間覆蓋率 83%；淹水三法投票的 IoU（0.857）高於任一單法。申請案件 C 級比例 56%，其中 80% 源於損失落在門檻附近，正是需要公所判斷的邊緣案件。</w:t>
      </w:r>
    </w:p>
    <w:p>
      <w:pPr>
        <w:pStyle w:val="BodyText"/>
        <w:keepNext/>
        <w:spacing w:before="160"/>
        <w:jc w:val="both"/>
      </w:pPr>
      <w:r>
        <w:rPr>
          <w:bCs/>
          <w:rFonts w:ascii="Times New Roman" w:hAnsi="Times New Roman" w:eastAsia="微軟正黑體"/>
          <w:b/>
          <w:sz w:val="20"/>
        </w:rPr>
        <w:t xml:space="preserve">表 11　模擬工況驗證結果</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1980"/>
        <w:gridCol w:w="1980"/>
        <w:gridCol w:w="1980"/>
        <w:gridCol w:w="1980"/>
      </w:tblGrid>
      <w:tr>
        <w:trPr>
          <w:tblHeader w:val="true"/>
        </w:trPr>
        <w:tc>
          <w:tcPr>
            <w:shd w:val="clear" w:color="auto" w:fill="E8EDF6"/>
          </w:tcPr>
          <w:p>
            <w:pPr>
              <w:pStyle w:val="Compact"/>
              <w:spacing w:after="20" w:line="276" w:lineRule="auto"/>
              <w:jc w:val="left"/>
            </w:pPr>
            <w:r>
              <w:rPr>
                <w:b/>
                <w:sz w:val="19"/>
              </w:rPr>
              <w:t xml:space="preserve">指標</w:t>
            </w:r>
          </w:p>
        </w:tc>
        <w:tc>
          <w:tcPr>
            <w:shd w:val="clear" w:color="auto" w:fill="E8EDF6"/>
          </w:tcPr>
          <w:p>
            <w:pPr>
              <w:pStyle w:val="Compact"/>
              <w:spacing w:after="20" w:line="276" w:lineRule="auto"/>
              <w:jc w:val="left"/>
            </w:pPr>
            <w:r>
              <w:rPr>
                <w:b/>
                <w:sz w:val="19"/>
              </w:rPr>
              <w:t xml:space="preserve">主工況</w:t>
            </w:r>
          </w:p>
        </w:tc>
        <w:tc>
          <w:tcPr>
            <w:shd w:val="clear" w:color="auto" w:fill="E8EDF6"/>
          </w:tcPr>
          <w:p>
            <w:pPr>
              <w:pStyle w:val="Compact"/>
              <w:spacing w:after="20" w:line="276" w:lineRule="auto"/>
              <w:jc w:val="left"/>
            </w:pPr>
            <w:r>
              <w:rPr>
                <w:b/>
                <w:sz w:val="19"/>
              </w:rPr>
              <w:t xml:space="preserve">10 個工況平均（範圍）</w:t>
            </w:r>
          </w:p>
        </w:tc>
        <w:tc>
          <w:tcPr>
            <w:shd w:val="clear" w:color="auto" w:fill="E8EDF6"/>
          </w:tcPr>
          <w:p>
            <w:pPr>
              <w:pStyle w:val="Compact"/>
              <w:spacing w:after="20" w:line="276" w:lineRule="auto"/>
              <w:jc w:val="left"/>
            </w:pPr>
            <w:r>
              <w:rPr>
                <w:b/>
                <w:sz w:val="19"/>
              </w:rPr>
              <w:t xml:space="preserve">目標</w:t>
            </w:r>
          </w:p>
        </w:tc>
      </w:tr>
      <w:tr>
        <w:tc>
          <w:tcPr/>
          <w:p>
            <w:pPr>
              <w:pStyle w:val="Compact"/>
              <w:spacing w:after="20" w:line="276" w:lineRule="auto"/>
              <w:jc w:val="left"/>
            </w:pPr>
            <w:r>
              <w:rPr>
                <w:sz w:val="19"/>
              </w:rPr>
              <w:t xml:space="preserve">A 級精確度</w:t>
            </w:r>
          </w:p>
        </w:tc>
        <w:tc>
          <w:tcPr/>
          <w:p>
            <w:pPr>
              <w:pStyle w:val="Compact"/>
              <w:spacing w:after="20" w:line="276" w:lineRule="auto"/>
              <w:jc w:val="left"/>
            </w:pPr>
            <w:r>
              <w:rPr>
                <w:sz w:val="19"/>
              </w:rPr>
              <w:t xml:space="preserve">100%（23／23）</w:t>
            </w:r>
          </w:p>
        </w:tc>
        <w:tc>
          <w:tcPr/>
          <w:p>
            <w:pPr>
              <w:pStyle w:val="Compact"/>
              <w:spacing w:after="20" w:line="276" w:lineRule="auto"/>
              <w:jc w:val="left"/>
            </w:pPr>
            <w:r>
              <w:rPr>
                <w:sz w:val="19"/>
              </w:rPr>
              <w:t xml:space="preserve">100%</w:t>
            </w:r>
          </w:p>
        </w:tc>
        <w:tc>
          <w:tcPr/>
          <w:p>
            <w:pPr>
              <w:pStyle w:val="Compact"/>
              <w:spacing w:after="20" w:line="276" w:lineRule="auto"/>
              <w:jc w:val="left"/>
            </w:pPr>
            <w:r>
              <w:rPr>
                <w:sz w:val="19"/>
              </w:rPr>
              <w:t xml:space="preserve">≥ 95%</w:t>
            </w:r>
          </w:p>
        </w:tc>
      </w:tr>
      <w:tr>
        <w:tc>
          <w:tcPr/>
          <w:p>
            <w:pPr>
              <w:pStyle w:val="Compact"/>
              <w:spacing w:after="20" w:line="276" w:lineRule="auto"/>
              <w:jc w:val="left"/>
            </w:pPr>
            <w:r>
              <w:rPr>
                <w:sz w:val="19"/>
              </w:rPr>
              <w:t xml:space="preserve">B 級精確度</w:t>
            </w:r>
          </w:p>
        </w:tc>
        <w:tc>
          <w:tcPr/>
          <w:p>
            <w:pPr>
              <w:pStyle w:val="Compact"/>
              <w:spacing w:after="20" w:line="276" w:lineRule="auto"/>
              <w:jc w:val="left"/>
            </w:pPr>
            <w:r>
              <w:rPr>
                <w:sz w:val="19"/>
              </w:rPr>
              <w:t xml:space="preserve">100%（25／25）</w:t>
            </w:r>
          </w:p>
        </w:tc>
        <w:tc>
          <w:tcPr/>
          <w:p>
            <w:pPr>
              <w:pStyle w:val="Compact"/>
              <w:spacing w:after="20" w:line="276" w:lineRule="auto"/>
              <w:jc w:val="left"/>
            </w:pPr>
            <w:r>
              <w:rPr>
                <w:sz w:val="19"/>
              </w:rPr>
              <w:t xml:space="preserve">100%</w:t>
            </w:r>
          </w:p>
        </w:tc>
        <w:tc>
          <w:tcPr/>
          <w:p>
            <w:pPr>
              <w:pStyle w:val="Compact"/>
              <w:spacing w:after="20" w:line="276" w:lineRule="auto"/>
              <w:jc w:val="left"/>
            </w:pPr>
            <w:r>
              <w:rPr>
                <w:sz w:val="19"/>
              </w:rPr>
              <w:t xml:space="preserve">≥ 95%</w:t>
            </w:r>
          </w:p>
        </w:tc>
      </w:tr>
      <w:tr>
        <w:tc>
          <w:tcPr/>
          <w:p>
            <w:pPr>
              <w:pStyle w:val="Compact"/>
              <w:spacing w:after="20" w:line="276" w:lineRule="auto"/>
              <w:jc w:val="left"/>
            </w:pPr>
            <w:r>
              <w:rPr>
                <w:sz w:val="19"/>
              </w:rPr>
              <w:t xml:space="preserve">申請案件 C 級比例</w:t>
            </w:r>
          </w:p>
        </w:tc>
        <w:tc>
          <w:tcPr/>
          <w:p>
            <w:pPr>
              <w:pStyle w:val="Compact"/>
              <w:spacing w:after="20" w:line="276" w:lineRule="auto"/>
              <w:jc w:val="left"/>
            </w:pPr>
            <w:r>
              <w:rPr>
                <w:sz w:val="19"/>
              </w:rPr>
              <w:t xml:space="preserve">56%</w:t>
            </w:r>
          </w:p>
        </w:tc>
        <w:tc>
          <w:tcPr/>
          <w:p>
            <w:pPr>
              <w:pStyle w:val="Compact"/>
              <w:spacing w:after="20" w:line="276" w:lineRule="auto"/>
              <w:jc w:val="left"/>
            </w:pPr>
            <w:r>
              <w:rPr>
                <w:sz w:val="19"/>
              </w:rPr>
              <w:t xml:space="preserve">57%（46%–68%）</w:t>
            </w:r>
          </w:p>
        </w:tc>
        <w:tc>
          <w:tcPr/>
          <w:p>
            <w:pPr>
              <w:pStyle w:val="Compact"/>
              <w:spacing w:after="20" w:line="276" w:lineRule="auto"/>
              <w:jc w:val="left"/>
            </w:pPr>
            <w:r>
              <w:rPr>
                <w:sz w:val="19"/>
              </w:rPr>
              <w:t xml:space="preserve">≤ 50%</w:t>
            </w:r>
          </w:p>
        </w:tc>
      </w:tr>
      <w:tr>
        <w:tc>
          <w:tcPr/>
          <w:p>
            <w:pPr>
              <w:pStyle w:val="Compact"/>
              <w:spacing w:after="20" w:line="276" w:lineRule="auto"/>
              <w:jc w:val="left"/>
            </w:pPr>
            <w:r>
              <w:rPr>
                <w:sz w:val="19"/>
              </w:rPr>
              <w:t xml:space="preserve">區間覆蓋率</w:t>
            </w:r>
          </w:p>
        </w:tc>
        <w:tc>
          <w:tcPr/>
          <w:p>
            <w:pPr>
              <w:pStyle w:val="Compact"/>
              <w:spacing w:after="20" w:line="276" w:lineRule="auto"/>
              <w:jc w:val="left"/>
            </w:pPr>
            <w:r>
              <w:rPr>
                <w:sz w:val="19"/>
              </w:rPr>
              <w:t xml:space="preserve">83%</w:t>
            </w:r>
          </w:p>
        </w:tc>
        <w:tc>
          <w:tcPr/>
          <w:p>
            <w:pPr>
              <w:pStyle w:val="Compact"/>
              <w:spacing w:after="20" w:line="276" w:lineRule="auto"/>
              <w:jc w:val="left"/>
            </w:pPr>
            <w:r>
              <w:rPr>
                <w:sz w:val="19"/>
              </w:rPr>
              <w:t xml:space="preserve">87%（81%–94%）</w:t>
            </w:r>
          </w:p>
        </w:tc>
        <w:tc>
          <w:tcPr/>
          <w:p>
            <w:pPr>
              <w:pStyle w:val="Compact"/>
              <w:spacing w:after="20" w:line="276" w:lineRule="auto"/>
              <w:jc w:val="left"/>
            </w:pPr>
            <w:r>
              <w:rPr>
                <w:sz w:val="19"/>
              </w:rPr>
              <w:t xml:space="preserve">約 80%</w:t>
            </w:r>
          </w:p>
        </w:tc>
      </w:tr>
      <w:tr>
        <w:tc>
          <w:tcPr/>
          <w:p>
            <w:pPr>
              <w:pStyle w:val="Compact"/>
              <w:spacing w:after="20" w:line="276" w:lineRule="auto"/>
              <w:jc w:val="left"/>
            </w:pPr>
            <w:r>
              <w:rPr>
                <w:sz w:val="19"/>
              </w:rPr>
              <w:t xml:space="preserve">損失中間值誤差</w:t>
            </w:r>
          </w:p>
        </w:tc>
        <w:tc>
          <w:tcPr/>
          <w:p>
            <w:pPr>
              <w:pStyle w:val="Compact"/>
              <w:spacing w:after="20" w:line="276" w:lineRule="auto"/>
              <w:jc w:val="left"/>
            </w:pPr>
            <w:r>
              <w:rPr>
                <w:sz w:val="19"/>
              </w:rPr>
              <w:t xml:space="preserve">5.9 個百分點</w:t>
            </w:r>
          </w:p>
        </w:tc>
        <w:tc>
          <w:tcPr/>
          <w:p>
            <w:pPr>
              <w:pStyle w:val="Compact"/>
              <w:spacing w:after="20" w:line="276" w:lineRule="auto"/>
              <w:jc w:val="left"/>
            </w:pPr>
            <w:r>
              <w:rPr>
                <w:sz w:val="19"/>
              </w:rPr>
              <w:t xml:space="preserve">5.4 個百分點</w:t>
            </w:r>
          </w:p>
        </w:tc>
        <w:tc>
          <w:tcPr/>
          <w:p>
            <w:pPr>
              <w:pStyle w:val="Compact"/>
              <w:spacing w:after="20" w:line="276" w:lineRule="auto"/>
              <w:jc w:val="left"/>
            </w:pPr>
            <w:r>
              <w:rPr>
                <w:sz w:val="19"/>
              </w:rPr>
              <w:t xml:space="preserve">—</w:t>
            </w:r>
          </w:p>
        </w:tc>
      </w:tr>
      <w:tr>
        <w:tc>
          <w:tcPr/>
          <w:p>
            <w:pPr>
              <w:pStyle w:val="Compact"/>
              <w:spacing w:after="20" w:line="276" w:lineRule="auto"/>
              <w:jc w:val="left"/>
            </w:pPr>
            <w:r>
              <w:rPr>
                <w:sz w:val="19"/>
              </w:rPr>
              <w:t xml:space="preserve">魚塭 A 級精確度</w:t>
            </w:r>
          </w:p>
        </w:tc>
        <w:tc>
          <w:tcPr/>
          <w:p>
            <w:pPr>
              <w:pStyle w:val="Compact"/>
              <w:spacing w:after="20" w:line="276" w:lineRule="auto"/>
              <w:jc w:val="left"/>
            </w:pPr>
            <w:r>
              <w:rPr>
                <w:sz w:val="19"/>
              </w:rPr>
              <w:t xml:space="preserve">100%（4／4）</w:t>
            </w:r>
          </w:p>
        </w:tc>
        <w:tc>
          <w:tcPr/>
          <w:p>
            <w:pPr>
              <w:pStyle w:val="Compact"/>
              <w:spacing w:after="20" w:line="276" w:lineRule="auto"/>
              <w:jc w:val="left"/>
            </w:pPr>
            <w:r>
              <w:rPr>
                <w:sz w:val="19"/>
              </w:rPr>
              <w:t xml:space="preserve">—</w:t>
            </w:r>
          </w:p>
        </w:tc>
        <w:tc>
          <w:tcPr/>
          <w:p>
            <w:pPr>
              <w:pStyle w:val="Compact"/>
              <w:spacing w:after="20" w:line="276" w:lineRule="auto"/>
              <w:jc w:val="left"/>
            </w:pPr>
            <w:r>
              <w:rPr>
                <w:sz w:val="19"/>
              </w:rPr>
              <w:t xml:space="preserve">≥ 95%</w:t>
            </w:r>
          </w:p>
        </w:tc>
      </w:tr>
    </w:tbl>
    <w:p>
      <w:pPr>
        <w:pStyle w:val="BodyText"/>
        <w:keepNext/>
        <w:jc w:val="center"/>
      </w:pPr>
      <w:r>
        <w:drawing>
          <wp:inline>
            <wp:extent cx="5334000" cy="4042085"/>
            <wp:effectExtent b="0" l="0" r="0" t="0"/>
            <wp:docPr descr="" title="" id="85" name="Picture"/>
            <a:graphic>
              <a:graphicData uri="http://schemas.openxmlformats.org/drawingml/2006/picture">
                <pic:pic>
                  <pic:nvPicPr>
                    <pic:cNvPr descr="charts/n32_loss_interval.png" id="86" name="Picture"/>
                    <pic:cNvPicPr>
                      <a:picLocks noChangeArrowheads="1" noChangeAspect="1"/>
                    </pic:cNvPicPr>
                  </pic:nvPicPr>
                  <pic:blipFill>
                    <a:blip r:embed="rId84"/>
                    <a:stretch>
                      <a:fillRect/>
                    </a:stretch>
                  </pic:blipFill>
                  <pic:spPr bwMode="auto">
                    <a:xfrm>
                      <a:off x="0" y="0"/>
                      <a:ext cx="5334000" cy="4042085"/>
                    </a:xfrm>
                    <a:prstGeom prst="rect">
                      <a:avLst/>
                    </a:prstGeom>
                    <a:noFill/>
                    <a:ln w="9525">
                      <a:noFill/>
                      <a:headEnd/>
                      <a:tailEnd/>
                    </a:ln>
                  </pic:spPr>
                </pic:pic>
              </a:graphicData>
            </a:graphic>
          </wp:inline>
        </w:drawing>
      </w:r>
    </w:p>
    <w:p>
      <w:pPr>
        <w:pStyle w:val="BodyText"/>
        <w:spacing w:after="200"/>
        <w:jc w:val="both"/>
      </w:pPr>
      <w:r>
        <w:rPr>
          <w:bCs/>
          <w:b/>
          <w:sz w:val="19"/>
        </w:rPr>
        <w:t xml:space="preserve">圖 18　損失區間預測。</w:t>
      </w:r>
      <w:r>
        <w:rPr>
          <w:sz w:val="19"/>
        </w:rPr>
        <w:t xml:space="preserve"> </w:t>
      </w:r>
      <w:r>
        <w:rPr>
          <w:sz w:val="19"/>
        </w:rPr>
        <w:t xml:space="preserve">A 級全落於 20% 以上、B 級全落於 20% 以下，靠近門檻者均列 C〔124〕。</w:t>
      </w:r>
    </w:p>
    <w:p>
      <w:pPr>
        <w:pStyle w:val="BodyText"/>
        <w:jc w:val="both"/>
      </w:pPr>
      <w:r>
        <w:t xml:space="preserve">正式試辦將以表 12 的指標評估。驗證以整場災害為單位留出測試資料，並依平地水稻、山區竹林、果園、魚塭分類報告；任一類別 A 級精確度未達標時，該類別暫停判 A、全部列 C。</w:t>
      </w:r>
    </w:p>
    <w:p>
      <w:pPr>
        <w:pStyle w:val="BodyText"/>
        <w:keepNext/>
        <w:spacing w:before="160"/>
        <w:jc w:val="both"/>
      </w:pPr>
      <w:r>
        <w:rPr>
          <w:bCs/>
          <w:rFonts w:ascii="Times New Roman" w:hAnsi="Times New Roman" w:eastAsia="微軟正黑體"/>
          <w:b/>
          <w:sz w:val="20"/>
        </w:rPr>
        <w:t xml:space="preserve">表 12　試辦驗證指標</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2640"/>
        <w:gridCol w:w="2640"/>
        <w:gridCol w:w="2640"/>
      </w:tblGrid>
      <w:tr>
        <w:trPr>
          <w:tblHeader w:val="true"/>
        </w:trPr>
        <w:tc>
          <w:tcPr>
            <w:shd w:val="clear" w:color="auto" w:fill="E8EDF6"/>
          </w:tcPr>
          <w:p>
            <w:pPr>
              <w:pStyle w:val="Compact"/>
              <w:spacing w:after="20" w:line="276" w:lineRule="auto"/>
              <w:jc w:val="left"/>
            </w:pPr>
            <w:r>
              <w:rPr>
                <w:b/>
                <w:sz w:val="19"/>
              </w:rPr>
              <w:t xml:space="preserve">指標</w:t>
            </w:r>
          </w:p>
        </w:tc>
        <w:tc>
          <w:tcPr>
            <w:shd w:val="clear" w:color="auto" w:fill="E8EDF6"/>
          </w:tcPr>
          <w:p>
            <w:pPr>
              <w:pStyle w:val="Compact"/>
              <w:spacing w:after="20" w:line="276" w:lineRule="auto"/>
              <w:jc w:val="left"/>
            </w:pPr>
            <w:r>
              <w:rPr>
                <w:b/>
                <w:sz w:val="19"/>
              </w:rPr>
              <w:t xml:space="preserve">定義</w:t>
            </w:r>
          </w:p>
        </w:tc>
        <w:tc>
          <w:tcPr>
            <w:shd w:val="clear" w:color="auto" w:fill="E8EDF6"/>
          </w:tcPr>
          <w:p>
            <w:pPr>
              <w:pStyle w:val="Compact"/>
              <w:spacing w:after="20" w:line="276" w:lineRule="auto"/>
              <w:jc w:val="left"/>
            </w:pPr>
            <w:r>
              <w:rPr>
                <w:b/>
                <w:sz w:val="19"/>
              </w:rPr>
              <w:t xml:space="preserve">目標</w:t>
            </w:r>
          </w:p>
        </w:tc>
      </w:tr>
      <w:tr>
        <w:tc>
          <w:tcPr/>
          <w:p>
            <w:pPr>
              <w:pStyle w:val="Compact"/>
              <w:spacing w:after="20" w:line="276" w:lineRule="auto"/>
              <w:jc w:val="left"/>
            </w:pPr>
            <w:r>
              <w:rPr>
                <w:sz w:val="19"/>
              </w:rPr>
              <w:t xml:space="preserve">A／B 級精確度</w:t>
            </w:r>
          </w:p>
        </w:tc>
        <w:tc>
          <w:tcPr/>
          <w:p>
            <w:pPr>
              <w:pStyle w:val="Compact"/>
              <w:spacing w:after="20" w:line="276" w:lineRule="auto"/>
              <w:jc w:val="left"/>
            </w:pPr>
            <w:r>
              <w:rPr>
                <w:sz w:val="19"/>
              </w:rPr>
              <w:t xml:space="preserve">A 級中現勘損失 ≥ 20%；B 級中確實未受損</w:t>
            </w:r>
          </w:p>
        </w:tc>
        <w:tc>
          <w:tcPr/>
          <w:p>
            <w:pPr>
              <w:pStyle w:val="Compact"/>
              <w:spacing w:after="20" w:line="276" w:lineRule="auto"/>
              <w:jc w:val="left"/>
            </w:pPr>
            <w:r>
              <w:rPr>
                <w:sz w:val="19"/>
              </w:rPr>
              <w:t xml:space="preserve">各 ≥ 95%</w:t>
            </w:r>
          </w:p>
        </w:tc>
      </w:tr>
      <w:tr>
        <w:tc>
          <w:tcPr/>
          <w:p>
            <w:pPr>
              <w:pStyle w:val="Compact"/>
              <w:spacing w:after="20" w:line="276" w:lineRule="auto"/>
              <w:jc w:val="left"/>
            </w:pPr>
            <w:r>
              <w:rPr>
                <w:sz w:val="19"/>
              </w:rPr>
              <w:t xml:space="preserve">C 級比例</w:t>
            </w:r>
          </w:p>
        </w:tc>
        <w:tc>
          <w:tcPr/>
          <w:p>
            <w:pPr>
              <w:pStyle w:val="Compact"/>
              <w:spacing w:after="20" w:line="276" w:lineRule="auto"/>
              <w:jc w:val="left"/>
            </w:pPr>
            <w:r>
              <w:rPr>
                <w:sz w:val="19"/>
              </w:rPr>
              <w:t xml:space="preserve">C 級 ÷ 全部申請</w:t>
            </w:r>
          </w:p>
        </w:tc>
        <w:tc>
          <w:tcPr/>
          <w:p>
            <w:pPr>
              <w:pStyle w:val="Compact"/>
              <w:spacing w:after="20" w:line="276" w:lineRule="auto"/>
              <w:jc w:val="left"/>
            </w:pPr>
            <w:r>
              <w:rPr>
                <w:sz w:val="19"/>
              </w:rPr>
              <w:t xml:space="preserve">≤ 50%</w:t>
            </w:r>
          </w:p>
        </w:tc>
      </w:tr>
      <w:tr>
        <w:tc>
          <w:tcPr/>
          <w:p>
            <w:pPr>
              <w:pStyle w:val="Compact"/>
              <w:spacing w:after="20" w:line="276" w:lineRule="auto"/>
              <w:jc w:val="left"/>
            </w:pPr>
            <w:r>
              <w:rPr>
                <w:sz w:val="19"/>
              </w:rPr>
              <w:t xml:space="preserve">作物判釋準確率</w:t>
            </w:r>
          </w:p>
        </w:tc>
        <w:tc>
          <w:tcPr/>
          <w:p>
            <w:pPr>
              <w:pStyle w:val="Compact"/>
              <w:spacing w:after="20" w:line="276" w:lineRule="auto"/>
              <w:jc w:val="left"/>
            </w:pPr>
            <w:r>
              <w:rPr>
                <w:sz w:val="19"/>
              </w:rPr>
              <w:t xml:space="preserve">與現勘作物相符</w:t>
            </w:r>
          </w:p>
        </w:tc>
        <w:tc>
          <w:tcPr/>
          <w:p>
            <w:pPr>
              <w:pStyle w:val="Compact"/>
              <w:spacing w:after="20" w:line="276" w:lineRule="auto"/>
              <w:jc w:val="left"/>
            </w:pPr>
            <w:r>
              <w:rPr>
                <w:sz w:val="19"/>
              </w:rPr>
              <w:t xml:space="preserve">≥ 0.80</w:t>
            </w:r>
          </w:p>
        </w:tc>
      </w:tr>
      <w:tr>
        <w:tc>
          <w:tcPr/>
          <w:p>
            <w:pPr>
              <w:pStyle w:val="Compact"/>
              <w:spacing w:after="20" w:line="276" w:lineRule="auto"/>
              <w:jc w:val="left"/>
            </w:pPr>
            <w:r>
              <w:rPr>
                <w:sz w:val="19"/>
              </w:rPr>
              <w:t xml:space="preserve">區間覆蓋率</w:t>
            </w:r>
          </w:p>
        </w:tc>
        <w:tc>
          <w:tcPr/>
          <w:p>
            <w:pPr>
              <w:pStyle w:val="Compact"/>
              <w:spacing w:after="20" w:line="276" w:lineRule="auto"/>
              <w:jc w:val="left"/>
            </w:pPr>
            <w:r>
              <w:rPr>
                <w:sz w:val="19"/>
              </w:rPr>
              <w:t xml:space="preserve">現勘損失率落於第 10–90 百分位</w:t>
            </w:r>
          </w:p>
        </w:tc>
        <w:tc>
          <w:tcPr/>
          <w:p>
            <w:pPr>
              <w:pStyle w:val="Compact"/>
              <w:spacing w:after="20" w:line="276" w:lineRule="auto"/>
              <w:jc w:val="left"/>
            </w:pPr>
            <w:r>
              <w:rPr>
                <w:sz w:val="19"/>
              </w:rPr>
              <w:t xml:space="preserve">約 80%</w:t>
            </w:r>
          </w:p>
        </w:tc>
      </w:tr>
      <w:tr>
        <w:tc>
          <w:tcPr/>
          <w:p>
            <w:pPr>
              <w:pStyle w:val="Compact"/>
              <w:spacing w:after="20" w:line="276" w:lineRule="auto"/>
              <w:jc w:val="left"/>
            </w:pPr>
            <w:r>
              <w:rPr>
                <w:sz w:val="19"/>
              </w:rPr>
              <w:t xml:space="preserve">出件時間</w:t>
            </w:r>
          </w:p>
        </w:tc>
        <w:tc>
          <w:tcPr/>
          <w:p>
            <w:pPr>
              <w:pStyle w:val="Compact"/>
              <w:spacing w:after="20" w:line="276" w:lineRule="auto"/>
              <w:jc w:val="left"/>
            </w:pPr>
            <w:r>
              <w:rPr>
                <w:sz w:val="19"/>
              </w:rPr>
              <w:t xml:space="preserve">雷達到站至分級完成</w:t>
            </w:r>
          </w:p>
        </w:tc>
        <w:tc>
          <w:tcPr/>
          <w:p>
            <w:pPr>
              <w:pStyle w:val="Compact"/>
              <w:spacing w:after="20" w:line="276" w:lineRule="auto"/>
              <w:jc w:val="left"/>
            </w:pPr>
            <w:r>
              <w:rPr>
                <w:sz w:val="19"/>
              </w:rPr>
              <w:t xml:space="preserve">8 小時內</w:t>
            </w:r>
          </w:p>
        </w:tc>
      </w:tr>
      <w:tr>
        <w:tc>
          <w:tcPr/>
          <w:p>
            <w:pPr>
              <w:pStyle w:val="Compact"/>
              <w:spacing w:after="20" w:line="276" w:lineRule="auto"/>
              <w:jc w:val="left"/>
            </w:pPr>
            <w:r>
              <w:rPr>
                <w:sz w:val="19"/>
              </w:rPr>
              <w:t xml:space="preserve">災前影像新鮮度</w:t>
            </w:r>
          </w:p>
        </w:tc>
        <w:tc>
          <w:tcPr/>
          <w:p>
            <w:pPr>
              <w:pStyle w:val="Compact"/>
              <w:spacing w:after="20" w:line="276" w:lineRule="auto"/>
              <w:jc w:val="left"/>
            </w:pPr>
            <w:r>
              <w:rPr>
                <w:sz w:val="19"/>
              </w:rPr>
              <w:t xml:space="preserve">最近可用災前影像距災害天數</w:t>
            </w:r>
          </w:p>
        </w:tc>
        <w:tc>
          <w:tcPr/>
          <w:p>
            <w:pPr>
              <w:pStyle w:val="Compact"/>
              <w:spacing w:after="20" w:line="276" w:lineRule="auto"/>
              <w:jc w:val="left"/>
            </w:pPr>
            <w:r>
              <w:rPr>
                <w:sz w:val="19"/>
              </w:rPr>
              <w:t xml:space="preserve">≤ 10 日</w:t>
            </w:r>
          </w:p>
        </w:tc>
      </w:tr>
      <w:tr>
        <w:tc>
          <w:tcPr/>
          <w:p>
            <w:pPr>
              <w:pStyle w:val="Compact"/>
              <w:spacing w:after="20" w:line="276" w:lineRule="auto"/>
              <w:jc w:val="left"/>
            </w:pPr>
            <w:r>
              <w:rPr>
                <w:sz w:val="19"/>
              </w:rPr>
              <w:t xml:space="preserve">R1–R5 檢核品質</w:t>
            </w:r>
          </w:p>
        </w:tc>
        <w:tc>
          <w:tcPr/>
          <w:p>
            <w:pPr>
              <w:pStyle w:val="Compact"/>
              <w:spacing w:after="20" w:line="276" w:lineRule="auto"/>
              <w:jc w:val="left"/>
            </w:pPr>
            <w:r>
              <w:rPr>
                <w:sz w:val="19"/>
              </w:rPr>
              <w:t xml:space="preserve">差異處理率、重複案件辨識率、補件次數</w:t>
            </w:r>
          </w:p>
        </w:tc>
        <w:tc>
          <w:tcPr/>
          <w:p>
            <w:pPr>
              <w:pStyle w:val="Compact"/>
              <w:spacing w:after="20" w:line="276" w:lineRule="auto"/>
              <w:jc w:val="left"/>
            </w:pPr>
            <w:r>
              <w:rPr>
                <w:sz w:val="19"/>
              </w:rPr>
              <w:t xml:space="preserve">試辦中建立基準</w:t>
            </w:r>
          </w:p>
        </w:tc>
      </w:tr>
    </w:tbl>
    <w:p>
      <w:pPr>
        <w:pStyle w:val="BodyText"/>
        <w:jc w:val="both"/>
      </w:pPr>
      <w:r>
        <w:t xml:space="preserve">須強調的是，模擬資料與判讀規則基於相同物理假設，100% 精確度僅證明流程與保守設計有效，不代表真實精度；真實精度須以丹娜絲實際影像與公所現勘結果驗證。測試亦揭示兩項真實系統會遇到的陷阱：水稻生長易被誤判為倒伏（改以災前最近兩期為基準後解決），以及 NDVI 參考組須排除受損田。</w:t>
      </w:r>
    </w:p>
    <w:p>
      <w:pPr>
        <w:pStyle w:val="BodyText"/>
        <w:keepNext/>
        <w:spacing w:before="160"/>
        <w:jc w:val="both"/>
      </w:pPr>
      <w:r>
        <w:rPr>
          <w:bCs/>
          <w:rFonts w:ascii="Times New Roman" w:hAnsi="Times New Roman" w:eastAsia="微軟正黑體"/>
          <w:b/>
          <w:color w:val="14213D"/>
        </w:rPr>
        <w:t xml:space="preserve">(4) 資料傳遞結構與權責單位</w:t>
      </w:r>
    </w:p>
    <w:p>
      <w:pPr>
        <w:pStyle w:val="BodyText"/>
        <w:jc w:val="both"/>
      </w:pPr>
      <w:r>
        <w:rPr>
          <w:bCs/>
          <w:b/>
        </w:rPr>
        <w:t xml:space="preserve">含個資的資料須以公所或縣府受託者身分取得；產出先交公所，再依法定層級上送。</w:t>
      </w:r>
    </w:p>
    <w:p>
      <w:pPr>
        <w:pStyle w:val="BodyText"/>
        <w:jc w:val="both"/>
      </w:pPr>
      <w:r>
        <w:t xml:space="preserve">本作品需要三類資料：衛星影像、地籍坵塊與救助作物資料（圖 19）。其中救助申請、作物申報、App 照片與現勘結果含個資，本作品屬非公務機關，只能以公所或縣市政府「受託者」身分使用；國土測繪中心地籍圖檔亦規定未經許可不得交付他人，故宜由試辦縣府申請並列本作品為受託者〔105〕〔109〕。產出均先交公所，再依法定層級往上送。</w:t>
      </w:r>
    </w:p>
    <w:p>
      <w:pPr>
        <w:pStyle w:val="BodyText"/>
        <w:keepNext/>
        <w:jc w:val="center"/>
      </w:pPr>
      <w:r>
        <w:drawing>
          <wp:inline>
            <wp:extent cx="5334000" cy="2208377"/>
            <wp:effectExtent b="0" l="0" r="0" t="0"/>
            <wp:docPr descr="" title="" id="88" name="Picture"/>
            <a:graphic>
              <a:graphicData uri="http://schemas.openxmlformats.org/drawingml/2006/picture">
                <pic:pic>
                  <pic:nvPicPr>
                    <pic:cNvPr descr="charts/n5_dataflow.png" id="89" name="Picture"/>
                    <pic:cNvPicPr>
                      <a:picLocks noChangeArrowheads="1" noChangeAspect="1"/>
                    </pic:cNvPicPr>
                  </pic:nvPicPr>
                  <pic:blipFill>
                    <a:blip r:embed="rId87"/>
                    <a:stretch>
                      <a:fillRect/>
                    </a:stretch>
                  </pic:blipFill>
                  <pic:spPr bwMode="auto">
                    <a:xfrm>
                      <a:off x="0" y="0"/>
                      <a:ext cx="5334000" cy="2208377"/>
                    </a:xfrm>
                    <a:prstGeom prst="rect">
                      <a:avLst/>
                    </a:prstGeom>
                    <a:noFill/>
                    <a:ln w="9525">
                      <a:noFill/>
                      <a:headEnd/>
                      <a:tailEnd/>
                    </a:ln>
                  </pic:spPr>
                </pic:pic>
              </a:graphicData>
            </a:graphic>
          </wp:inline>
        </w:drawing>
      </w:r>
    </w:p>
    <w:p>
      <w:pPr>
        <w:pStyle w:val="BodyText"/>
        <w:spacing w:after="200"/>
        <w:jc w:val="both"/>
      </w:pPr>
      <w:r>
        <w:rPr>
          <w:bCs/>
          <w:b/>
          <w:sz w:val="19"/>
        </w:rPr>
        <w:t xml:space="preserve">圖 19　資料傳遞架構。</w:t>
      </w:r>
      <w:r>
        <w:rPr>
          <w:sz w:val="19"/>
        </w:rPr>
        <w:t xml:space="preserve"> </w:t>
      </w:r>
      <w:r>
        <w:rPr>
          <w:sz w:val="19"/>
        </w:rPr>
        <w:t xml:space="preserve">左為資料來源與索取單位，右為法定救助層級與期限。</w:t>
      </w:r>
    </w:p>
    <w:p>
      <w:pPr>
        <w:pStyle w:val="BodyText"/>
        <w:jc w:val="both"/>
      </w:pPr>
      <w:r>
        <w:t xml:space="preserve">各項資料與文件的索取位置如表 13。農民自己要跑的窗口只有土地所在地地政事務所（謄本、鑑界）與公所或農會（申報、租約登記）；地籍圖、國土利用與航照由天相星統一申請；災後申請文件均交受災地公所，例外為分級清冊副本交縣市政府，以及低利貸款申請交貸款經辦機構〔103〕〔120〕。</w:t>
      </w:r>
    </w:p>
    <w:p>
      <w:pPr>
        <w:pStyle w:val="BodyText"/>
        <w:keepNext/>
        <w:spacing w:before="160"/>
        <w:jc w:val="both"/>
      </w:pPr>
      <w:r>
        <w:rPr>
          <w:bCs/>
          <w:rFonts w:ascii="Times New Roman" w:hAnsi="Times New Roman" w:eastAsia="微軟正黑體"/>
          <w:b/>
          <w:sz w:val="20"/>
        </w:rPr>
        <w:t xml:space="preserve">表 13　資料與文件的索取位置</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2640"/>
        <w:gridCol w:w="2640"/>
        <w:gridCol w:w="2640"/>
      </w:tblGrid>
      <w:tr>
        <w:trPr>
          <w:tblHeader w:val="true"/>
        </w:trPr>
        <w:tc>
          <w:tcPr>
            <w:shd w:val="clear" w:color="auto" w:fill="E8EDF6"/>
          </w:tcPr>
          <w:p>
            <w:pPr>
              <w:pStyle w:val="Compact"/>
              <w:spacing w:after="20" w:line="276" w:lineRule="auto"/>
              <w:jc w:val="left"/>
            </w:pPr>
            <w:r>
              <w:rPr>
                <w:b/>
                <w:sz w:val="19"/>
              </w:rPr>
              <w:t xml:space="preserve">資料或文件</w:t>
            </w:r>
          </w:p>
        </w:tc>
        <w:tc>
          <w:tcPr>
            <w:shd w:val="clear" w:color="auto" w:fill="E8EDF6"/>
          </w:tcPr>
          <w:p>
            <w:pPr>
              <w:pStyle w:val="Compact"/>
              <w:spacing w:after="20" w:line="276" w:lineRule="auto"/>
              <w:jc w:val="left"/>
            </w:pPr>
            <w:r>
              <w:rPr>
                <w:b/>
                <w:sz w:val="19"/>
              </w:rPr>
              <w:t xml:space="preserve">索取者</w:t>
            </w:r>
          </w:p>
        </w:tc>
        <w:tc>
          <w:tcPr>
            <w:shd w:val="clear" w:color="auto" w:fill="E8EDF6"/>
          </w:tcPr>
          <w:p>
            <w:pPr>
              <w:pStyle w:val="Compact"/>
              <w:spacing w:after="20" w:line="276" w:lineRule="auto"/>
              <w:jc w:val="left"/>
            </w:pPr>
            <w:r>
              <w:rPr>
                <w:b/>
                <w:sz w:val="19"/>
              </w:rPr>
              <w:t xml:space="preserve">索取位置與管道</w:t>
            </w:r>
          </w:p>
        </w:tc>
      </w:tr>
      <w:tr>
        <w:tc>
          <w:tcPr/>
          <w:p>
            <w:pPr>
              <w:pStyle w:val="Compact"/>
              <w:spacing w:after="20" w:line="276" w:lineRule="auto"/>
              <w:jc w:val="left"/>
            </w:pPr>
            <w:r>
              <w:rPr>
                <w:sz w:val="19"/>
              </w:rPr>
              <w:t xml:space="preserve">Sentinel-1／2、VIIRS</w:t>
            </w:r>
          </w:p>
        </w:tc>
        <w:tc>
          <w:tcPr/>
          <w:p>
            <w:pPr>
              <w:pStyle w:val="Compact"/>
              <w:spacing w:after="20" w:line="276" w:lineRule="auto"/>
              <w:jc w:val="left"/>
            </w:pPr>
            <w:r>
              <w:rPr>
                <w:sz w:val="19"/>
              </w:rPr>
              <w:t xml:space="preserve">天相星</w:t>
            </w:r>
          </w:p>
        </w:tc>
        <w:tc>
          <w:tcPr/>
          <w:p>
            <w:pPr>
              <w:pStyle w:val="Compact"/>
              <w:spacing w:after="20" w:line="276" w:lineRule="auto"/>
              <w:jc w:val="left"/>
            </w:pPr>
            <w:r>
              <w:rPr>
                <w:sz w:val="19"/>
              </w:rPr>
              <w:t xml:space="preserve">Copernicus Data Space、NASA Black Marble 線上免費下載〔66〕〔72〕</w:t>
            </w:r>
          </w:p>
        </w:tc>
      </w:tr>
      <w:tr>
        <w:tc>
          <w:tcPr/>
          <w:p>
            <w:pPr>
              <w:pStyle w:val="Compact"/>
              <w:spacing w:after="20" w:line="276" w:lineRule="auto"/>
              <w:jc w:val="left"/>
            </w:pPr>
            <w:r>
              <w:rPr>
                <w:sz w:val="19"/>
              </w:rPr>
              <w:t xml:space="preserve">福衛八號影像</w:t>
            </w:r>
          </w:p>
        </w:tc>
        <w:tc>
          <w:tcPr/>
          <w:p>
            <w:pPr>
              <w:pStyle w:val="Compact"/>
              <w:spacing w:after="20" w:line="276" w:lineRule="auto"/>
              <w:jc w:val="left"/>
            </w:pPr>
            <w:r>
              <w:rPr>
                <w:sz w:val="19"/>
              </w:rPr>
              <w:t xml:space="preserve">天相星</w:t>
            </w:r>
          </w:p>
        </w:tc>
        <w:tc>
          <w:tcPr/>
          <w:p>
            <w:pPr>
              <w:pStyle w:val="Compact"/>
              <w:spacing w:after="20" w:line="276" w:lineRule="auto"/>
              <w:jc w:val="left"/>
            </w:pPr>
            <w:r>
              <w:rPr>
                <w:sz w:val="19"/>
              </w:rPr>
              <w:t xml:space="preserve">國家太空中心授權經銷商：互動國際數位、中央大學太空及遙測研究中心、興創知能；政府供應向國家太空中心洽詢〔110〕〔112〕</w:t>
            </w:r>
          </w:p>
        </w:tc>
      </w:tr>
      <w:tr>
        <w:tc>
          <w:tcPr/>
          <w:p>
            <w:pPr>
              <w:pStyle w:val="Compact"/>
              <w:spacing w:after="20" w:line="276" w:lineRule="auto"/>
              <w:jc w:val="left"/>
            </w:pPr>
            <w:r>
              <w:rPr>
                <w:sz w:val="19"/>
              </w:rPr>
              <w:t xml:space="preserve">地籍圖檔、國土利用調查、正射影像</w:t>
            </w:r>
          </w:p>
        </w:tc>
        <w:tc>
          <w:tcPr/>
          <w:p>
            <w:pPr>
              <w:pStyle w:val="Compact"/>
              <w:spacing w:after="20" w:line="276" w:lineRule="auto"/>
              <w:jc w:val="left"/>
            </w:pPr>
            <w:r>
              <w:rPr>
                <w:sz w:val="19"/>
              </w:rPr>
              <w:t xml:space="preserve">天相星（試辦縣府備文）</w:t>
            </w:r>
          </w:p>
        </w:tc>
        <w:tc>
          <w:tcPr/>
          <w:p>
            <w:pPr>
              <w:pStyle w:val="Compact"/>
              <w:spacing w:after="20" w:line="276" w:lineRule="auto"/>
              <w:jc w:val="left"/>
            </w:pPr>
            <w:r>
              <w:rPr>
                <w:sz w:val="19"/>
              </w:rPr>
              <w:t xml:space="preserve">內政部國土測繪中心：國土測繪圖資 e 商城、地籍圖 API、介接服務 WMS；正射影像於臺中售圖站（臺中市南屯區大業路 611 巷 19 號）訂購〔108〕〔115〕〔116〕</w:t>
            </w:r>
          </w:p>
        </w:tc>
      </w:tr>
      <w:tr>
        <w:tc>
          <w:tcPr/>
          <w:p>
            <w:pPr>
              <w:pStyle w:val="Compact"/>
              <w:spacing w:after="20" w:line="276" w:lineRule="auto"/>
              <w:jc w:val="left"/>
            </w:pPr>
            <w:r>
              <w:rPr>
                <w:sz w:val="19"/>
              </w:rPr>
              <w:t xml:space="preserve">地號所有權資料</w:t>
            </w:r>
          </w:p>
        </w:tc>
        <w:tc>
          <w:tcPr/>
          <w:p>
            <w:pPr>
              <w:pStyle w:val="Compact"/>
              <w:spacing w:after="20" w:line="276" w:lineRule="auto"/>
              <w:jc w:val="left"/>
            </w:pPr>
            <w:r>
              <w:rPr>
                <w:sz w:val="19"/>
              </w:rPr>
              <w:t xml:space="preserve">公所</w:t>
            </w:r>
          </w:p>
        </w:tc>
        <w:tc>
          <w:tcPr/>
          <w:p>
            <w:pPr>
              <w:pStyle w:val="Compact"/>
              <w:spacing w:after="20" w:line="276" w:lineRule="auto"/>
              <w:jc w:val="left"/>
            </w:pPr>
            <w:r>
              <w:rPr>
                <w:sz w:val="19"/>
              </w:rPr>
              <w:t xml:space="preserve">土地所在地直轄市、縣（市）地政事務所為登記機關；由受理公所以「地政資訊查詢系統」於案件中查詢，天相星不直接取得〔103〕〔113〕</w:t>
            </w:r>
          </w:p>
        </w:tc>
      </w:tr>
      <w:tr>
        <w:tc>
          <w:tcPr/>
          <w:p>
            <w:pPr>
              <w:pStyle w:val="Compact"/>
              <w:spacing w:after="20" w:line="276" w:lineRule="auto"/>
              <w:jc w:val="left"/>
            </w:pPr>
            <w:r>
              <w:rPr>
                <w:sz w:val="19"/>
              </w:rPr>
              <w:t xml:space="preserve">救助申請資料</w:t>
            </w:r>
          </w:p>
        </w:tc>
        <w:tc>
          <w:tcPr/>
          <w:p>
            <w:pPr>
              <w:pStyle w:val="Compact"/>
              <w:spacing w:after="20" w:line="276" w:lineRule="auto"/>
              <w:jc w:val="left"/>
            </w:pPr>
            <w:r>
              <w:rPr>
                <w:sz w:val="19"/>
              </w:rPr>
              <w:t xml:space="preserve">試辦機關</w:t>
            </w:r>
          </w:p>
        </w:tc>
        <w:tc>
          <w:tcPr/>
          <w:p>
            <w:pPr>
              <w:pStyle w:val="Compact"/>
              <w:spacing w:after="20" w:line="276" w:lineRule="auto"/>
              <w:jc w:val="left"/>
            </w:pPr>
            <w:r>
              <w:rPr>
                <w:sz w:val="19"/>
              </w:rPr>
              <w:t xml:space="preserve">農業部農糧署「農產業天然災害現金救助系統」；試辦期由公所匯出本轄案件〔103〕</w:t>
            </w:r>
          </w:p>
        </w:tc>
      </w:tr>
      <w:tr>
        <w:tc>
          <w:tcPr/>
          <w:p>
            <w:pPr>
              <w:pStyle w:val="Compact"/>
              <w:spacing w:after="20" w:line="276" w:lineRule="auto"/>
              <w:jc w:val="left"/>
            </w:pPr>
            <w:r>
              <w:rPr>
                <w:sz w:val="19"/>
              </w:rPr>
              <w:t xml:space="preserve">農災 App 照片、農地覆蓋物、天氣參數</w:t>
            </w:r>
          </w:p>
        </w:tc>
        <w:tc>
          <w:tcPr/>
          <w:p>
            <w:pPr>
              <w:pStyle w:val="Compact"/>
              <w:spacing w:after="20" w:line="276" w:lineRule="auto"/>
              <w:jc w:val="left"/>
            </w:pPr>
            <w:r>
              <w:rPr>
                <w:sz w:val="19"/>
              </w:rPr>
              <w:t xml:space="preserve">試辦機關</w:t>
            </w:r>
          </w:p>
        </w:tc>
        <w:tc>
          <w:tcPr/>
          <w:p>
            <w:pPr>
              <w:pStyle w:val="Compact"/>
              <w:spacing w:after="20" w:line="276" w:lineRule="auto"/>
              <w:jc w:val="left"/>
            </w:pPr>
            <w:r>
              <w:rPr>
                <w:sz w:val="19"/>
              </w:rPr>
              <w:t xml:space="preserve">農業部（農業現調相片圖臺 API、即時資訊儀表板）；網格與資料庫須發文申請介接〔101〕</w:t>
            </w:r>
          </w:p>
        </w:tc>
      </w:tr>
      <w:tr>
        <w:tc>
          <w:tcPr/>
          <w:p>
            <w:pPr>
              <w:pStyle w:val="Compact"/>
              <w:spacing w:after="20" w:line="276" w:lineRule="auto"/>
              <w:jc w:val="left"/>
            </w:pPr>
            <w:r>
              <w:rPr>
                <w:sz w:val="19"/>
              </w:rPr>
              <w:t xml:space="preserve">土地登記謄本</w:t>
            </w:r>
          </w:p>
        </w:tc>
        <w:tc>
          <w:tcPr/>
          <w:p>
            <w:pPr>
              <w:pStyle w:val="Compact"/>
              <w:spacing w:after="20" w:line="276" w:lineRule="auto"/>
              <w:jc w:val="left"/>
            </w:pPr>
            <w:r>
              <w:rPr>
                <w:sz w:val="19"/>
              </w:rPr>
              <w:t xml:space="preserve">農民</w:t>
            </w:r>
          </w:p>
        </w:tc>
        <w:tc>
          <w:tcPr/>
          <w:p>
            <w:pPr>
              <w:pStyle w:val="Compact"/>
              <w:spacing w:after="20" w:line="276" w:lineRule="auto"/>
              <w:jc w:val="left"/>
            </w:pPr>
            <w:r>
              <w:rPr>
                <w:sz w:val="19"/>
              </w:rPr>
              <w:t xml:space="preserve">土地所在地地政事務所（第一類限登記名義人；第二類任何人）〔113〕</w:t>
            </w:r>
          </w:p>
        </w:tc>
      </w:tr>
      <w:tr>
        <w:tc>
          <w:tcPr/>
          <w:p>
            <w:pPr>
              <w:pStyle w:val="Compact"/>
              <w:spacing w:after="20" w:line="276" w:lineRule="auto"/>
              <w:jc w:val="left"/>
            </w:pPr>
            <w:r>
              <w:rPr>
                <w:sz w:val="19"/>
              </w:rPr>
              <w:t xml:space="preserve">綠色環境給付收執聯、三七五租約、放養申報</w:t>
            </w:r>
          </w:p>
        </w:tc>
        <w:tc>
          <w:tcPr/>
          <w:p>
            <w:pPr>
              <w:pStyle w:val="Compact"/>
              <w:spacing w:after="20" w:line="276" w:lineRule="auto"/>
              <w:jc w:val="left"/>
            </w:pPr>
            <w:r>
              <w:rPr>
                <w:sz w:val="19"/>
              </w:rPr>
              <w:t xml:space="preserve">農民、養殖戶</w:t>
            </w:r>
          </w:p>
        </w:tc>
        <w:tc>
          <w:tcPr/>
          <w:p>
            <w:pPr>
              <w:pStyle w:val="Compact"/>
              <w:spacing w:after="20" w:line="276" w:lineRule="auto"/>
              <w:jc w:val="left"/>
            </w:pPr>
            <w:r>
              <w:rPr>
                <w:sz w:val="19"/>
              </w:rPr>
              <w:t xml:space="preserve">土地或魚塭所在地公所（收執聯亦可於農會申報）〔118〕〔121〕</w:t>
            </w:r>
          </w:p>
        </w:tc>
      </w:tr>
      <w:tr>
        <w:tc>
          <w:tcPr/>
          <w:p>
            <w:pPr>
              <w:pStyle w:val="Compact"/>
              <w:spacing w:after="20" w:line="276" w:lineRule="auto"/>
              <w:jc w:val="left"/>
            </w:pPr>
            <w:r>
              <w:rPr>
                <w:sz w:val="19"/>
              </w:rPr>
              <w:t xml:space="preserve">養殖漁業登記證</w:t>
            </w:r>
          </w:p>
        </w:tc>
        <w:tc>
          <w:tcPr/>
          <w:p>
            <w:pPr>
              <w:pStyle w:val="Compact"/>
              <w:spacing w:after="20" w:line="276" w:lineRule="auto"/>
              <w:jc w:val="left"/>
            </w:pPr>
            <w:r>
              <w:rPr>
                <w:sz w:val="19"/>
              </w:rPr>
              <w:t xml:space="preserve">養殖戶</w:t>
            </w:r>
          </w:p>
        </w:tc>
        <w:tc>
          <w:tcPr/>
          <w:p>
            <w:pPr>
              <w:pStyle w:val="Compact"/>
              <w:spacing w:after="20" w:line="276" w:lineRule="auto"/>
              <w:jc w:val="left"/>
            </w:pPr>
            <w:r>
              <w:rPr>
                <w:sz w:val="19"/>
              </w:rPr>
              <w:t xml:space="preserve">魚塭所在地公所受理、縣市政府核發〔119〕</w:t>
            </w:r>
          </w:p>
        </w:tc>
      </w:tr>
      <w:tr>
        <w:tc>
          <w:tcPr/>
          <w:p>
            <w:pPr>
              <w:pStyle w:val="Compact"/>
              <w:spacing w:after="20" w:line="276" w:lineRule="auto"/>
              <w:jc w:val="left"/>
            </w:pPr>
            <w:r>
              <w:rPr>
                <w:sz w:val="19"/>
              </w:rPr>
              <w:t xml:space="preserve">鑑界成果圖（範圍對不上時）</w:t>
            </w:r>
          </w:p>
        </w:tc>
        <w:tc>
          <w:tcPr/>
          <w:p>
            <w:pPr>
              <w:pStyle w:val="Compact"/>
              <w:spacing w:after="20" w:line="276" w:lineRule="auto"/>
              <w:jc w:val="left"/>
            </w:pPr>
            <w:r>
              <w:rPr>
                <w:sz w:val="19"/>
              </w:rPr>
              <w:t xml:space="preserve">地主</w:t>
            </w:r>
          </w:p>
        </w:tc>
        <w:tc>
          <w:tcPr/>
          <w:p>
            <w:pPr>
              <w:pStyle w:val="Compact"/>
              <w:spacing w:after="20" w:line="276" w:lineRule="auto"/>
              <w:jc w:val="left"/>
            </w:pPr>
            <w:r>
              <w:rPr>
                <w:sz w:val="19"/>
              </w:rPr>
              <w:t xml:space="preserve">土地所在地轄區地政事務所，本人到場，每公頃 4,000 元〔117〕</w:t>
            </w:r>
          </w:p>
        </w:tc>
      </w:tr>
      <w:tr>
        <w:tc>
          <w:tcPr/>
          <w:p>
            <w:pPr>
              <w:pStyle w:val="Compact"/>
              <w:spacing w:after="20" w:line="276" w:lineRule="auto"/>
              <w:jc w:val="left"/>
            </w:pPr>
            <w:r>
              <w:rPr>
                <w:sz w:val="19"/>
              </w:rPr>
              <w:t xml:space="preserve">救助申請表與附件、復查、更正</w:t>
            </w:r>
          </w:p>
        </w:tc>
        <w:tc>
          <w:tcPr/>
          <w:p>
            <w:pPr>
              <w:pStyle w:val="Compact"/>
              <w:spacing w:after="20" w:line="276" w:lineRule="auto"/>
              <w:jc w:val="left"/>
            </w:pPr>
            <w:r>
              <w:rPr>
                <w:sz w:val="19"/>
              </w:rPr>
              <w:t xml:space="preserve">農民</w:t>
            </w:r>
          </w:p>
        </w:tc>
        <w:tc>
          <w:tcPr/>
          <w:p>
            <w:pPr>
              <w:pStyle w:val="Compact"/>
              <w:spacing w:after="20" w:line="276" w:lineRule="auto"/>
              <w:jc w:val="left"/>
            </w:pPr>
            <w:r>
              <w:rPr>
                <w:sz w:val="19"/>
              </w:rPr>
              <w:t xml:space="preserve">受災地公所（公告翌日起 10 個工作日；復查 7 日內；更正 4 個月內）〔102〕〔103〕</w:t>
            </w:r>
          </w:p>
        </w:tc>
      </w:tr>
    </w:tbl>
    <w:p>
      <w:pPr>
        <w:pStyle w:val="BodyText"/>
        <w:jc w:val="both"/>
      </w:pPr>
      <w:r>
        <w:t xml:space="preserve">以花蓮光復農作物案件為例，各環節的具體窗口為：土地登記及謄本對接花蓮縣鳳林地政事務所〔133〕；數值地籍圖向內政部國土測繪中心申請；農民救助申請、復查與受災證明書交光復鄉公所；公所清冊報花蓮縣政府農業處，再由農糧署辦理農作物救助審核撥款；光復鄉農會協助既有政策申報與送件〔103〕〔134〕。</w:t>
      </w:r>
    </w:p>
    <w:p>
      <w:pPr>
        <w:pStyle w:val="BodyText"/>
        <w:jc w:val="both"/>
      </w:pPr>
      <w:r>
        <w:t xml:space="preserve">自取得資料至產出具效力的證據，須經六個法定程序（圖 20），其中第 ⑤ 步「公告認可為客觀證明文件」決定免勘能否成立。須另行區分兩種抽查：存證報告獲認可前，A 級仍須由公所抽樣勘查 20%〔3〕；縣市抽查則依申請戶數抽 5%、25 戶或 30 戶，始終以救助系統隨機抽選〔103〕。</w:t>
      </w:r>
    </w:p>
    <w:p>
      <w:pPr>
        <w:pStyle w:val="BodyText"/>
        <w:keepNext/>
        <w:jc w:val="center"/>
      </w:pPr>
      <w:r>
        <w:drawing>
          <wp:inline>
            <wp:extent cx="5334000" cy="555194"/>
            <wp:effectExtent b="0" l="0" r="0" t="0"/>
            <wp:docPr descr="" title="" id="91" name="Picture"/>
            <a:graphic>
              <a:graphicData uri="http://schemas.openxmlformats.org/drawingml/2006/picture">
                <pic:pic>
                  <pic:nvPicPr>
                    <pic:cNvPr descr="charts/n6_procedure.png" id="92" name="Picture"/>
                    <pic:cNvPicPr>
                      <a:picLocks noChangeArrowheads="1" noChangeAspect="1"/>
                    </pic:cNvPicPr>
                  </pic:nvPicPr>
                  <pic:blipFill>
                    <a:blip r:embed="rId90"/>
                    <a:stretch>
                      <a:fillRect/>
                    </a:stretch>
                  </pic:blipFill>
                  <pic:spPr bwMode="auto">
                    <a:xfrm>
                      <a:off x="0" y="0"/>
                      <a:ext cx="5334000" cy="555194"/>
                    </a:xfrm>
                    <a:prstGeom prst="rect">
                      <a:avLst/>
                    </a:prstGeom>
                    <a:noFill/>
                    <a:ln w="9525">
                      <a:noFill/>
                      <a:headEnd/>
                      <a:tailEnd/>
                    </a:ln>
                  </pic:spPr>
                </pic:pic>
              </a:graphicData>
            </a:graphic>
          </wp:inline>
        </w:drawing>
      </w:r>
    </w:p>
    <w:p>
      <w:pPr>
        <w:pStyle w:val="BodyText"/>
        <w:spacing w:after="200"/>
        <w:jc w:val="both"/>
      </w:pPr>
      <w:r>
        <w:rPr>
          <w:bCs/>
          <w:b/>
          <w:sz w:val="19"/>
        </w:rPr>
        <w:t xml:space="preserve">圖 20　必須經過的六個法定程序。</w:t>
      </w:r>
      <w:r>
        <w:rPr>
          <w:sz w:val="19"/>
        </w:rPr>
        <w:t xml:space="preserve"> </w:t>
      </w:r>
      <w:r>
        <w:rPr>
          <w:sz w:val="19"/>
        </w:rPr>
        <w:t xml:space="preserve">法規版本：救助辦法 2026 年 6 月 29 日修正〔102〕、作業要點 2025 年 3 月 10 日修正〔103〕。</w:t>
      </w:r>
    </w:p>
    <w:p>
      <w:pPr>
        <w:pStyle w:val="BodyText"/>
        <w:keepNext/>
        <w:spacing w:before="160"/>
        <w:jc w:val="both"/>
      </w:pPr>
      <w:r>
        <w:rPr>
          <w:bCs/>
          <w:rFonts w:ascii="Times New Roman" w:hAnsi="Times New Roman" w:eastAsia="微軟正黑體"/>
          <w:b/>
          <w:color w:val="14213D"/>
        </w:rPr>
        <w:t xml:space="preserve">(5) 既有基礎、待突破項目與發展路徑</w:t>
      </w:r>
    </w:p>
    <w:p>
      <w:pPr>
        <w:pStyle w:val="BodyText"/>
        <w:jc w:val="both"/>
      </w:pPr>
      <w:r>
        <w:rPr>
          <w:bCs/>
          <w:b/>
        </w:rPr>
        <w:t xml:space="preserve">各項技術已有實用基礎，待突破的是臺灣實測、存證效力與救助系統介接；規劃三年內由一個鄉鎮擴展至颱風常襲縣市。</w:t>
      </w:r>
    </w:p>
    <w:p>
      <w:pPr>
        <w:pStyle w:val="BodyText"/>
        <w:jc w:val="both"/>
      </w:pPr>
      <w:r>
        <w:t xml:space="preserve">表 14 區分各環節的既有基礎與待突破之處。變遷偵測、雷達與光學資料、魚塭辨識與農災 App 介接均已有實用基礎；待突破者為特定作物與魚塭判讀的臺灣實測、存證報告的法定效力，以及救助系統的介接。</w:t>
      </w:r>
    </w:p>
    <w:p>
      <w:pPr>
        <w:pStyle w:val="BodyText"/>
        <w:keepNext/>
        <w:spacing w:before="160"/>
        <w:jc w:val="both"/>
      </w:pPr>
      <w:r>
        <w:rPr>
          <w:bCs/>
          <w:rFonts w:ascii="Times New Roman" w:hAnsi="Times New Roman" w:eastAsia="微軟正黑體"/>
          <w:b/>
          <w:sz w:val="20"/>
        </w:rPr>
        <w:t xml:space="preserve">表 14　既有基礎與待突破項目</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1980"/>
        <w:gridCol w:w="1980"/>
        <w:gridCol w:w="1980"/>
        <w:gridCol w:w="1980"/>
      </w:tblGrid>
      <w:tr>
        <w:trPr>
          <w:tblHeader w:val="true"/>
        </w:trPr>
        <w:tc>
          <w:tcPr>
            <w:shd w:val="clear" w:color="auto" w:fill="E8EDF6"/>
          </w:tcPr>
          <w:p>
            <w:pPr>
              <w:pStyle w:val="Compact"/>
              <w:spacing w:after="20" w:line="276" w:lineRule="auto"/>
              <w:jc w:val="left"/>
            </w:pPr>
            <w:r>
              <w:rPr>
                <w:b/>
                <w:sz w:val="19"/>
              </w:rPr>
              <w:t xml:space="preserve">項目</w:t>
            </w:r>
          </w:p>
        </w:tc>
        <w:tc>
          <w:tcPr>
            <w:shd w:val="clear" w:color="auto" w:fill="E8EDF6"/>
          </w:tcPr>
          <w:p>
            <w:pPr>
              <w:pStyle w:val="Compact"/>
              <w:spacing w:after="20" w:line="276" w:lineRule="auto"/>
              <w:jc w:val="left"/>
            </w:pPr>
            <w:r>
              <w:rPr>
                <w:b/>
                <w:sz w:val="19"/>
              </w:rPr>
              <w:t xml:space="preserve">已有基礎</w:t>
            </w:r>
          </w:p>
        </w:tc>
        <w:tc>
          <w:tcPr>
            <w:shd w:val="clear" w:color="auto" w:fill="E8EDF6"/>
          </w:tcPr>
          <w:p>
            <w:pPr>
              <w:pStyle w:val="Compact"/>
              <w:spacing w:after="20" w:line="276" w:lineRule="auto"/>
              <w:jc w:val="left"/>
            </w:pPr>
            <w:r>
              <w:rPr>
                <w:b/>
                <w:sz w:val="19"/>
              </w:rPr>
              <w:t xml:space="preserve">待突破</w:t>
            </w:r>
          </w:p>
        </w:tc>
        <w:tc>
          <w:tcPr>
            <w:shd w:val="clear" w:color="auto" w:fill="E8EDF6"/>
          </w:tcPr>
          <w:p>
            <w:pPr>
              <w:pStyle w:val="Compact"/>
              <w:spacing w:after="20" w:line="276" w:lineRule="auto"/>
              <w:jc w:val="left"/>
            </w:pPr>
            <w:r>
              <w:rPr>
                <w:b/>
                <w:sz w:val="19"/>
              </w:rPr>
              <w:t xml:space="preserve">突破方式</w:t>
            </w:r>
          </w:p>
        </w:tc>
      </w:tr>
      <w:tr>
        <w:tc>
          <w:tcPr/>
          <w:p>
            <w:pPr>
              <w:pStyle w:val="Compact"/>
              <w:spacing w:after="20" w:line="276" w:lineRule="auto"/>
              <w:jc w:val="left"/>
            </w:pPr>
            <w:r>
              <w:rPr>
                <w:sz w:val="19"/>
              </w:rPr>
              <w:t xml:space="preserve">變遷偵測</w:t>
            </w:r>
          </w:p>
        </w:tc>
        <w:tc>
          <w:tcPr/>
          <w:p>
            <w:pPr>
              <w:pStyle w:val="Compact"/>
              <w:spacing w:after="20" w:line="276" w:lineRule="auto"/>
              <w:jc w:val="left"/>
            </w:pPr>
            <w:r>
              <w:rPr>
                <w:sz w:val="19"/>
              </w:rPr>
              <w:t xml:space="preserve">BigGIS、AMS、GFM 已實用；模擬工況與丹娜絲真實影像已跑通</w:t>
            </w:r>
          </w:p>
        </w:tc>
        <w:tc>
          <w:tcPr/>
          <w:p>
            <w:pPr>
              <w:pStyle w:val="Compact"/>
              <w:spacing w:after="20" w:line="276" w:lineRule="auto"/>
              <w:jc w:val="left"/>
            </w:pPr>
            <w:r>
              <w:rPr>
                <w:sz w:val="19"/>
              </w:rPr>
              <w:t xml:space="preserve">臺灣農作物實測精確度</w:t>
            </w:r>
          </w:p>
        </w:tc>
        <w:tc>
          <w:tcPr/>
          <w:p>
            <w:pPr>
              <w:pStyle w:val="Compact"/>
              <w:spacing w:after="20" w:line="276" w:lineRule="auto"/>
              <w:jc w:val="left"/>
            </w:pPr>
            <w:r>
              <w:rPr>
                <w:sz w:val="19"/>
              </w:rPr>
              <w:t xml:space="preserve">公所現勘結果回填校正</w:t>
            </w:r>
          </w:p>
        </w:tc>
      </w:tr>
      <w:tr>
        <w:tc>
          <w:tcPr/>
          <w:p>
            <w:pPr>
              <w:pStyle w:val="Compact"/>
              <w:spacing w:after="20" w:line="276" w:lineRule="auto"/>
              <w:jc w:val="left"/>
            </w:pPr>
            <w:r>
              <w:rPr>
                <w:sz w:val="19"/>
              </w:rPr>
              <w:t xml:space="preserve">光學受雲遮擋</w:t>
            </w:r>
          </w:p>
        </w:tc>
        <w:tc>
          <w:tcPr/>
          <w:p>
            <w:pPr>
              <w:pStyle w:val="Compact"/>
              <w:spacing w:after="20" w:line="276" w:lineRule="auto"/>
              <w:jc w:val="left"/>
            </w:pPr>
            <w:r>
              <w:rPr>
                <w:sz w:val="19"/>
              </w:rPr>
              <w:t xml:space="preserve">Sentinel 雙星、福衛星系</w:t>
            </w:r>
          </w:p>
        </w:tc>
        <w:tc>
          <w:tcPr/>
          <w:p>
            <w:pPr>
              <w:pStyle w:val="Compact"/>
              <w:spacing w:after="20" w:line="276" w:lineRule="auto"/>
              <w:jc w:val="left"/>
            </w:pPr>
            <w:r>
              <w:rPr>
                <w:sz w:val="19"/>
              </w:rPr>
              <w:t xml:space="preserve">颱風後缺光學</w:t>
            </w:r>
          </w:p>
        </w:tc>
        <w:tc>
          <w:tcPr/>
          <w:p>
            <w:pPr>
              <w:pStyle w:val="Compact"/>
              <w:spacing w:after="20" w:line="276" w:lineRule="auto"/>
              <w:jc w:val="left"/>
            </w:pPr>
            <w:r>
              <w:rPr>
                <w:sz w:val="19"/>
              </w:rPr>
              <w:t xml:space="preserve">雷達與光學融合</w:t>
            </w:r>
          </w:p>
        </w:tc>
      </w:tr>
      <w:tr>
        <w:tc>
          <w:tcPr/>
          <w:p>
            <w:pPr>
              <w:pStyle w:val="Compact"/>
              <w:spacing w:after="20" w:line="276" w:lineRule="auto"/>
              <w:jc w:val="left"/>
            </w:pPr>
            <w:r>
              <w:rPr>
                <w:sz w:val="19"/>
              </w:rPr>
              <w:t xml:space="preserve">小田區</w:t>
            </w:r>
          </w:p>
        </w:tc>
        <w:tc>
          <w:tcPr/>
          <w:p>
            <w:pPr>
              <w:pStyle w:val="Compact"/>
              <w:spacing w:after="20" w:line="276" w:lineRule="auto"/>
              <w:jc w:val="left"/>
            </w:pPr>
            <w:r>
              <w:rPr>
                <w:sz w:val="19"/>
              </w:rPr>
              <w:t xml:space="preserve">福衛八號 1 米</w:t>
            </w:r>
          </w:p>
        </w:tc>
        <w:tc>
          <w:tcPr/>
          <w:p>
            <w:pPr>
              <w:pStyle w:val="Compact"/>
              <w:spacing w:after="20" w:line="276" w:lineRule="auto"/>
              <w:jc w:val="left"/>
            </w:pPr>
            <w:r>
              <w:rPr>
                <w:sz w:val="19"/>
              </w:rPr>
              <w:t xml:space="preserve">小於 0.3 公頃</w:t>
            </w:r>
          </w:p>
        </w:tc>
        <w:tc>
          <w:tcPr/>
          <w:p>
            <w:pPr>
              <w:pStyle w:val="Compact"/>
              <w:spacing w:after="20" w:line="276" w:lineRule="auto"/>
              <w:jc w:val="left"/>
            </w:pPr>
            <w:r>
              <w:rPr>
                <w:sz w:val="19"/>
              </w:rPr>
              <w:t xml:space="preserve">列 C 交現勘或無人機</w:t>
            </w:r>
          </w:p>
        </w:tc>
      </w:tr>
      <w:tr>
        <w:tc>
          <w:tcPr/>
          <w:p>
            <w:pPr>
              <w:pStyle w:val="Compact"/>
              <w:spacing w:after="20" w:line="276" w:lineRule="auto"/>
              <w:jc w:val="left"/>
            </w:pPr>
            <w:r>
              <w:rPr>
                <w:sz w:val="19"/>
              </w:rPr>
              <w:t xml:space="preserve">魚塭在養</w:t>
            </w:r>
          </w:p>
        </w:tc>
        <w:tc>
          <w:tcPr/>
          <w:p>
            <w:pPr>
              <w:pStyle w:val="Compact"/>
              <w:spacing w:after="20" w:line="276" w:lineRule="auto"/>
              <w:jc w:val="left"/>
            </w:pPr>
            <w:r>
              <w:rPr>
                <w:sz w:val="19"/>
              </w:rPr>
              <w:t xml:space="preserve">魚塭坵塊準確率 91.9%</w:t>
            </w:r>
          </w:p>
        </w:tc>
        <w:tc>
          <w:tcPr/>
          <w:p>
            <w:pPr>
              <w:pStyle w:val="Compact"/>
              <w:spacing w:after="20" w:line="276" w:lineRule="auto"/>
              <w:jc w:val="left"/>
            </w:pPr>
            <w:r>
              <w:rPr>
                <w:sz w:val="19"/>
              </w:rPr>
              <w:t xml:space="preserve">水車偵測、水色</w:t>
            </w:r>
          </w:p>
        </w:tc>
        <w:tc>
          <w:tcPr/>
          <w:p>
            <w:pPr>
              <w:pStyle w:val="Compact"/>
              <w:spacing w:after="20" w:line="276" w:lineRule="auto"/>
              <w:jc w:val="left"/>
            </w:pPr>
            <w:r>
              <w:rPr>
                <w:sz w:val="19"/>
              </w:rPr>
              <w:t xml:space="preserve">建立福衛八號標註資料</w:t>
            </w:r>
          </w:p>
        </w:tc>
      </w:tr>
      <w:tr>
        <w:tc>
          <w:tcPr/>
          <w:p>
            <w:pPr>
              <w:pStyle w:val="Compact"/>
              <w:spacing w:after="20" w:line="276" w:lineRule="auto"/>
              <w:jc w:val="left"/>
            </w:pPr>
            <w:r>
              <w:rPr>
                <w:sz w:val="19"/>
              </w:rPr>
              <w:t xml:space="preserve">存證效力</w:t>
            </w:r>
          </w:p>
        </w:tc>
        <w:tc>
          <w:tcPr/>
          <w:p>
            <w:pPr>
              <w:pStyle w:val="Compact"/>
              <w:spacing w:after="20" w:line="276" w:lineRule="auto"/>
              <w:jc w:val="left"/>
            </w:pPr>
            <w:r>
              <w:rPr>
                <w:sz w:val="19"/>
              </w:rPr>
              <w:t xml:space="preserve">免勘規定、App 照片路徑</w:t>
            </w:r>
          </w:p>
        </w:tc>
        <w:tc>
          <w:tcPr/>
          <w:p>
            <w:pPr>
              <w:pStyle w:val="Compact"/>
              <w:spacing w:after="20" w:line="276" w:lineRule="auto"/>
              <w:jc w:val="left"/>
            </w:pPr>
            <w:r>
              <w:rPr>
                <w:sz w:val="19"/>
              </w:rPr>
              <w:t xml:space="preserve">尚非客觀證明</w:t>
            </w:r>
          </w:p>
        </w:tc>
        <w:tc>
          <w:tcPr/>
          <w:p>
            <w:pPr>
              <w:pStyle w:val="Compact"/>
              <w:spacing w:after="20" w:line="276" w:lineRule="auto"/>
              <w:jc w:val="left"/>
            </w:pPr>
            <w:r>
              <w:rPr>
                <w:sz w:val="19"/>
              </w:rPr>
              <w:t xml:space="preserve">三階段路徑試辦</w:t>
            </w:r>
          </w:p>
        </w:tc>
      </w:tr>
      <w:tr>
        <w:tc>
          <w:tcPr/>
          <w:p>
            <w:pPr>
              <w:pStyle w:val="Compact"/>
              <w:spacing w:after="20" w:line="276" w:lineRule="auto"/>
              <w:jc w:val="left"/>
            </w:pPr>
            <w:r>
              <w:rPr>
                <w:sz w:val="19"/>
              </w:rPr>
              <w:t xml:space="preserve">系統介接</w:t>
            </w:r>
          </w:p>
        </w:tc>
        <w:tc>
          <w:tcPr/>
          <w:p>
            <w:pPr>
              <w:pStyle w:val="Compact"/>
              <w:spacing w:after="20" w:line="276" w:lineRule="auto"/>
              <w:jc w:val="left"/>
            </w:pPr>
            <w:r>
              <w:rPr>
                <w:sz w:val="19"/>
              </w:rPr>
              <w:t xml:space="preserve">農災 App 已支援調查專案</w:t>
            </w:r>
          </w:p>
        </w:tc>
        <w:tc>
          <w:tcPr/>
          <w:p>
            <w:pPr>
              <w:pStyle w:val="Compact"/>
              <w:spacing w:after="20" w:line="276" w:lineRule="auto"/>
              <w:jc w:val="left"/>
            </w:pPr>
            <w:r>
              <w:rPr>
                <w:sz w:val="19"/>
              </w:rPr>
              <w:t xml:space="preserve">救助系統是否開放</w:t>
            </w:r>
          </w:p>
        </w:tc>
        <w:tc>
          <w:tcPr/>
          <w:p>
            <w:pPr>
              <w:pStyle w:val="Compact"/>
              <w:spacing w:after="20" w:line="276" w:lineRule="auto"/>
              <w:jc w:val="left"/>
            </w:pPr>
            <w:r>
              <w:rPr>
                <w:sz w:val="19"/>
              </w:rPr>
              <w:t xml:space="preserve">先以匯出檔銜接</w:t>
            </w:r>
          </w:p>
        </w:tc>
      </w:tr>
    </w:tbl>
    <w:p>
      <w:pPr>
        <w:pStyle w:val="BodyText"/>
        <w:jc w:val="both"/>
      </w:pPr>
      <w:r>
        <w:t xml:space="preserve">本作品規劃三年內由單一鄉鎮擴展至颱風常襲縣市（圖 21），主要風險與對策如表 15，其根本原則是系統僅提供分級與存證依據，最終認定均由公所做出。</w:t>
      </w:r>
    </w:p>
    <w:p>
      <w:pPr>
        <w:pStyle w:val="BodyText"/>
        <w:keepNext/>
        <w:spacing w:before="160"/>
        <w:jc w:val="both"/>
      </w:pPr>
      <w:r>
        <w:rPr>
          <w:bCs/>
          <w:rFonts w:ascii="Times New Roman" w:hAnsi="Times New Roman" w:eastAsia="微軟正黑體"/>
          <w:b/>
          <w:sz w:val="20"/>
        </w:rPr>
        <w:t xml:space="preserve">表 15　風險與對策</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3960"/>
        <w:gridCol w:w="3960"/>
      </w:tblGrid>
      <w:tr>
        <w:trPr>
          <w:tblHeader w:val="true"/>
        </w:trPr>
        <w:tc>
          <w:tcPr>
            <w:shd w:val="clear" w:color="auto" w:fill="E8EDF6"/>
          </w:tcPr>
          <w:p>
            <w:pPr>
              <w:pStyle w:val="Compact"/>
              <w:spacing w:after="20" w:line="276" w:lineRule="auto"/>
              <w:jc w:val="left"/>
            </w:pPr>
            <w:r>
              <w:rPr>
                <w:b/>
                <w:sz w:val="19"/>
              </w:rPr>
              <w:t xml:space="preserve">風險</w:t>
            </w:r>
          </w:p>
        </w:tc>
        <w:tc>
          <w:tcPr>
            <w:shd w:val="clear" w:color="auto" w:fill="E8EDF6"/>
          </w:tcPr>
          <w:p>
            <w:pPr>
              <w:pStyle w:val="Compact"/>
              <w:spacing w:after="20" w:line="276" w:lineRule="auto"/>
              <w:jc w:val="left"/>
            </w:pPr>
            <w:r>
              <w:rPr>
                <w:b/>
                <w:sz w:val="19"/>
              </w:rPr>
              <w:t xml:space="preserve">對策</w:t>
            </w:r>
          </w:p>
        </w:tc>
      </w:tr>
      <w:tr>
        <w:tc>
          <w:tcPr/>
          <w:p>
            <w:pPr>
              <w:pStyle w:val="Compact"/>
              <w:spacing w:after="20" w:line="276" w:lineRule="auto"/>
              <w:jc w:val="left"/>
            </w:pPr>
            <w:r>
              <w:rPr>
                <w:sz w:val="19"/>
              </w:rPr>
              <w:t xml:space="preserve">誤判的責任歸屬</w:t>
            </w:r>
          </w:p>
        </w:tc>
        <w:tc>
          <w:tcPr/>
          <w:p>
            <w:pPr>
              <w:pStyle w:val="Compact"/>
              <w:spacing w:after="20" w:line="276" w:lineRule="auto"/>
              <w:jc w:val="left"/>
            </w:pPr>
            <w:r>
              <w:rPr>
                <w:sz w:val="19"/>
              </w:rPr>
              <w:t xml:space="preserve">最終認定由公所做出；不予救助須選法定原因</w:t>
            </w:r>
          </w:p>
        </w:tc>
      </w:tr>
      <w:tr>
        <w:tc>
          <w:tcPr/>
          <w:p>
            <w:pPr>
              <w:pStyle w:val="Compact"/>
              <w:spacing w:after="20" w:line="276" w:lineRule="auto"/>
              <w:jc w:val="left"/>
            </w:pPr>
            <w:r>
              <w:rPr>
                <w:sz w:val="19"/>
              </w:rPr>
              <w:t xml:space="preserve">增加承辦負擔</w:t>
            </w:r>
          </w:p>
        </w:tc>
        <w:tc>
          <w:tcPr/>
          <w:p>
            <w:pPr>
              <w:pStyle w:val="Compact"/>
              <w:spacing w:after="20" w:line="276" w:lineRule="auto"/>
              <w:jc w:val="left"/>
            </w:pPr>
            <w:r>
              <w:rPr>
                <w:sz w:val="19"/>
              </w:rPr>
              <w:t xml:space="preserve">災前基準併入綠色環境給付申報期；C 級清單匯入農災 App；QR 碼調閱</w:t>
            </w:r>
          </w:p>
        </w:tc>
      </w:tr>
      <w:tr>
        <w:tc>
          <w:tcPr/>
          <w:p>
            <w:pPr>
              <w:pStyle w:val="Compact"/>
              <w:spacing w:after="20" w:line="276" w:lineRule="auto"/>
              <w:jc w:val="left"/>
            </w:pPr>
            <w:r>
              <w:rPr>
                <w:sz w:val="19"/>
              </w:rPr>
              <w:t xml:space="preserve">農民誤認初步判讀為核定</w:t>
            </w:r>
          </w:p>
        </w:tc>
        <w:tc>
          <w:tcPr/>
          <w:p>
            <w:pPr>
              <w:pStyle w:val="Compact"/>
              <w:spacing w:after="20" w:line="276" w:lineRule="auto"/>
              <w:jc w:val="left"/>
            </w:pPr>
            <w:r>
              <w:rPr>
                <w:sz w:val="19"/>
              </w:rPr>
              <w:t xml:space="preserve">每畫面註明以公所認定為準；顯示申報值與核定值</w:t>
            </w:r>
          </w:p>
        </w:tc>
      </w:tr>
      <w:tr>
        <w:tc>
          <w:tcPr/>
          <w:p>
            <w:pPr>
              <w:pStyle w:val="Compact"/>
              <w:spacing w:after="20" w:line="276" w:lineRule="auto"/>
              <w:jc w:val="left"/>
            </w:pPr>
            <w:r>
              <w:rPr>
                <w:sz w:val="19"/>
              </w:rPr>
              <w:t xml:space="preserve">個人資料</w:t>
            </w:r>
          </w:p>
        </w:tc>
        <w:tc>
          <w:tcPr/>
          <w:p>
            <w:pPr>
              <w:pStyle w:val="Compact"/>
              <w:spacing w:after="20" w:line="276" w:lineRule="auto"/>
              <w:jc w:val="left"/>
            </w:pPr>
            <w:r>
              <w:rPr>
                <w:sz w:val="19"/>
              </w:rPr>
              <w:t xml:space="preserve">受託處理；明確告知用途與對象；不保存帳號</w:t>
            </w:r>
          </w:p>
        </w:tc>
      </w:tr>
      <w:tr>
        <w:tc>
          <w:tcPr/>
          <w:p>
            <w:pPr>
              <w:pStyle w:val="Compact"/>
              <w:spacing w:after="20" w:line="276" w:lineRule="auto"/>
              <w:jc w:val="left"/>
            </w:pPr>
            <w:r>
              <w:rPr>
                <w:sz w:val="19"/>
              </w:rPr>
              <w:t xml:space="preserve">存證尚無法律效力</w:t>
            </w:r>
          </w:p>
        </w:tc>
        <w:tc>
          <w:tcPr/>
          <w:p>
            <w:pPr>
              <w:pStyle w:val="Compact"/>
              <w:spacing w:after="20" w:line="276" w:lineRule="auto"/>
              <w:jc w:val="left"/>
            </w:pPr>
            <w:r>
              <w:rPr>
                <w:sz w:val="19"/>
              </w:rPr>
              <w:t xml:space="preserve">以合作目標呈現，依三階段路徑推動</w:t>
            </w:r>
          </w:p>
        </w:tc>
      </w:tr>
      <w:tr>
        <w:tc>
          <w:tcPr/>
          <w:p>
            <w:pPr>
              <w:pStyle w:val="Compact"/>
              <w:spacing w:after="20" w:line="276" w:lineRule="auto"/>
              <w:jc w:val="left"/>
            </w:pPr>
            <w:r>
              <w:rPr>
                <w:sz w:val="19"/>
              </w:rPr>
              <w:t xml:space="preserve">小田、設施作物與雲遮</w:t>
            </w:r>
          </w:p>
        </w:tc>
        <w:tc>
          <w:tcPr/>
          <w:p>
            <w:pPr>
              <w:pStyle w:val="Compact"/>
              <w:spacing w:after="20" w:line="276" w:lineRule="auto"/>
              <w:jc w:val="left"/>
            </w:pPr>
            <w:r>
              <w:rPr>
                <w:sz w:val="19"/>
              </w:rPr>
              <w:t xml:space="preserve">小於 0.3 公頃或網室列 C；雷達光學融合</w:t>
            </w:r>
          </w:p>
        </w:tc>
      </w:tr>
      <w:tr>
        <w:tc>
          <w:tcPr/>
          <w:p>
            <w:pPr>
              <w:pStyle w:val="Compact"/>
              <w:spacing w:after="20" w:line="276" w:lineRule="auto"/>
              <w:jc w:val="left"/>
            </w:pPr>
            <w:r>
              <w:rPr>
                <w:sz w:val="19"/>
              </w:rPr>
              <w:t xml:space="preserve">災後斷網停電</w:t>
            </w:r>
          </w:p>
        </w:tc>
        <w:tc>
          <w:tcPr/>
          <w:p>
            <w:pPr>
              <w:pStyle w:val="Compact"/>
              <w:spacing w:after="20" w:line="276" w:lineRule="auto"/>
              <w:jc w:val="left"/>
            </w:pPr>
            <w:r>
              <w:rPr>
                <w:sz w:val="19"/>
              </w:rPr>
              <w:t xml:space="preserve">清單事先離線下載；定位樁獨立供電</w:t>
            </w:r>
          </w:p>
        </w:tc>
      </w:tr>
    </w:tbl>
    <w:p>
      <w:pPr>
        <w:pStyle w:val="BodyText"/>
        <w:keepNext/>
        <w:jc w:val="center"/>
      </w:pPr>
      <w:r>
        <w:drawing>
          <wp:inline>
            <wp:extent cx="5334000" cy="2306594"/>
            <wp:effectExtent b="0" l="0" r="0" t="0"/>
            <wp:docPr descr="" title="" id="94" name="Picture"/>
            <a:graphic>
              <a:graphicData uri="http://schemas.openxmlformats.org/drawingml/2006/picture">
                <pic:pic>
                  <pic:nvPicPr>
                    <pic:cNvPr descr="charts/n7_roadmap.png" id="95" name="Picture"/>
                    <pic:cNvPicPr>
                      <a:picLocks noChangeArrowheads="1" noChangeAspect="1"/>
                    </pic:cNvPicPr>
                  </pic:nvPicPr>
                  <pic:blipFill>
                    <a:blip r:embed="rId93"/>
                    <a:stretch>
                      <a:fillRect/>
                    </a:stretch>
                  </pic:blipFill>
                  <pic:spPr bwMode="auto">
                    <a:xfrm>
                      <a:off x="0" y="0"/>
                      <a:ext cx="5334000" cy="2306594"/>
                    </a:xfrm>
                    <a:prstGeom prst="rect">
                      <a:avLst/>
                    </a:prstGeom>
                    <a:noFill/>
                    <a:ln w="9525">
                      <a:noFill/>
                      <a:headEnd/>
                      <a:tailEnd/>
                    </a:ln>
                  </pic:spPr>
                </pic:pic>
              </a:graphicData>
            </a:graphic>
          </wp:inline>
        </w:drawing>
      </w:r>
    </w:p>
    <w:p>
      <w:pPr>
        <w:pStyle w:val="BodyText"/>
        <w:spacing w:after="200"/>
        <w:jc w:val="both"/>
      </w:pPr>
      <w:r>
        <w:rPr>
          <w:bCs/>
          <w:b/>
          <w:sz w:val="19"/>
        </w:rPr>
        <w:t xml:space="preserve">圖 21　1～3 年發展路徑。</w:t>
      </w:r>
    </w:p>
    <w:bookmarkEnd w:id="96"/>
    <w:bookmarkEnd w:id="97"/>
    <w:bookmarkStart w:id="117" w:name="四預期效益"/>
    <w:p>
      <w:pPr>
        <w:pStyle w:val="Heading2"/>
      </w:pPr>
      <w:r>
        <w:t xml:space="preserve">四、預期效益</w:t>
      </w:r>
    </w:p>
    <w:p>
      <w:pPr>
        <w:pStyle w:val="FirstParagraph"/>
        <w:jc w:val="both"/>
      </w:pPr>
      <w:r>
        <w:rPr>
          <w:bCs/>
          <w:b/>
        </w:rPr>
        <w:t xml:space="preserve">以轉免勘 50% 估算，一場大型災害約 6.7 萬件可提早約 28 天撥款，公所實地現勘由 315,266 筆降至約 18.9 萬筆，勘查需求回到量能以內。</w:t>
      </w:r>
    </w:p>
    <w:p>
      <w:pPr>
        <w:pStyle w:val="BodyText"/>
        <w:jc w:val="both"/>
      </w:pPr>
      <w:r>
        <w:t xml:space="preserve">本章估算公所勘查人力的量能缺口與天相星的營運成本，合併比較總成本，再討論社會、產業與商業效益及未來推廣。本作品不以減少公所人員為目的，目標是減少超出量能的工作，使同樣人力於期限內完成勘查，並將時間集中於邊緣案件。</w:t>
      </w:r>
    </w:p>
    <w:bookmarkStart w:id="113" w:name="公所人力與成本效益"/>
    <w:p>
      <w:pPr>
        <w:pStyle w:val="Heading3"/>
      </w:pPr>
      <w:r>
        <w:t xml:space="preserve">1. 公所人力與成本效益</w:t>
      </w:r>
    </w:p>
    <w:p>
      <w:pPr>
        <w:pStyle w:val="FirstParagraph"/>
        <w:jc w:val="both"/>
      </w:pPr>
      <w:r>
        <w:rPr>
          <w:bCs/>
          <w:b/>
        </w:rPr>
        <w:t xml:space="preserve">公所勘查需求由量能的 113% 降至 86%，新增支出約為增聘人力方案的 1/3 至 1/6。</w:t>
      </w:r>
    </w:p>
    <w:p>
      <w:pPr>
        <w:pStyle w:val="BodyText"/>
        <w:keepNext/>
        <w:spacing w:before="160"/>
        <w:jc w:val="both"/>
      </w:pPr>
      <w:r>
        <w:rPr>
          <w:bCs/>
          <w:rFonts w:ascii="Times New Roman" w:hAnsi="Times New Roman" w:eastAsia="微軟正黑體"/>
          <w:b/>
          <w:color w:val="14213D"/>
        </w:rPr>
        <w:t xml:space="preserve">(1) 現況：一場大型災害超出量能 13%</w:t>
      </w:r>
    </w:p>
    <w:p>
      <w:pPr>
        <w:pStyle w:val="BodyText"/>
        <w:jc w:val="both"/>
      </w:pPr>
      <w:r>
        <w:rPr>
          <w:bCs/>
          <w:b/>
        </w:rPr>
        <w:t xml:space="preserve">一場大型災害需 21,018 人日，超出全國農業課 30 日量能 13%。</w:t>
      </w:r>
    </w:p>
    <w:p>
      <w:pPr>
        <w:pStyle w:val="BodyText"/>
        <w:jc w:val="both"/>
      </w:pPr>
      <w:r>
        <w:t xml:space="preserve">以臺中市大肚區公所預算書推算，每人日勘查成本約 4,773 元（人事 4,693 元加交通 80 元）〔41〕〔44〕。以 2021 年 8 月豪雨規模（須現勘 315,266 筆、221 個公所）為基準，並假設每人日現勘 15 筆，所需 21,018 人日已達全國農業課 30 日量能（18,564 人日）的 113%，超出部分只能以加班、補休或延後吸收，每場人事成本約 1.00 億元〔42〕〔45〕。</w:t>
      </w:r>
    </w:p>
    <w:p>
      <w:pPr>
        <w:pStyle w:val="BodyText"/>
        <w:jc w:val="both"/>
      </w:pPr>
      <w:r>
        <w:t xml:space="preserve">另依農業部 112–114 年度單位決算，農業天然災害救助行政作業實支分別為 20,777,013 元、40,816,037 元與 48,515,118 元〔130〕；此為行政經費科目，與上述以人日衡量的公所既有人力時間成本口徑不同。</w:t>
      </w:r>
    </w:p>
    <w:p>
      <w:pPr>
        <w:pStyle w:val="BodyText"/>
        <w:keepNext/>
        <w:spacing w:before="160"/>
        <w:jc w:val="both"/>
      </w:pPr>
      <w:r>
        <w:rPr>
          <w:bCs/>
          <w:rFonts w:ascii="Times New Roman" w:hAnsi="Times New Roman" w:eastAsia="微軟正黑體"/>
          <w:b/>
          <w:color w:val="14213D"/>
        </w:rPr>
        <w:t xml:space="preserve">(2) 導入後的人力分配</w:t>
      </w:r>
    </w:p>
    <w:p>
      <w:pPr>
        <w:pStyle w:val="BodyText"/>
        <w:jc w:val="both"/>
      </w:pPr>
      <w:r>
        <w:rPr>
          <w:bCs/>
          <w:b/>
        </w:rPr>
        <w:t xml:space="preserve">導入後每場約釋出 4,992 人日，每筆邊緣案件的可用時間由約 32 分鐘增至約 40 分鐘。</w:t>
      </w:r>
    </w:p>
    <w:p>
      <w:pPr>
        <w:pStyle w:val="BodyText"/>
        <w:jc w:val="both"/>
      </w:pPr>
      <w:r>
        <w:t xml:space="preserve">以轉免勘 50% 為基準，公所工作改為 A 級書面審核、A 級 20% 抽查與 C 級現勘。C 級屬較難案件，故設每人日 15、12、10 筆三種效率。基準情境（12 筆）下，勘查人日降至 16,026，占量能 86%，每場釋出 4,992 人日回到農情調查與推廣業務；實地現勘由 315,266 筆降至約 189,160 筆，減少約 12.6 萬筆（約 40%）；每筆難案可投入時間由約 32 分鐘增至約 40 分鐘；即使 C 級僅 10 筆，需求亦恰落於量能之內（圖 22、表 16）。</w:t>
      </w:r>
    </w:p>
    <w:p>
      <w:pPr>
        <w:pStyle w:val="BodyText"/>
        <w:keepNext/>
        <w:jc w:val="center"/>
      </w:pPr>
      <w:r>
        <w:drawing>
          <wp:inline>
            <wp:extent cx="5334000" cy="3474095"/>
            <wp:effectExtent b="0" l="0" r="0" t="0"/>
            <wp:docPr descr="" title="" id="99" name="Picture"/>
            <a:graphic>
              <a:graphicData uri="http://schemas.openxmlformats.org/drawingml/2006/picture">
                <pic:pic>
                  <pic:nvPicPr>
                    <pic:cNvPr descr="charts/fig8_workload.png" id="100" name="Picture"/>
                    <pic:cNvPicPr>
                      <a:picLocks noChangeArrowheads="1" noChangeAspect="1"/>
                    </pic:cNvPicPr>
                  </pic:nvPicPr>
                  <pic:blipFill>
                    <a:blip r:embed="rId98"/>
                    <a:stretch>
                      <a:fillRect/>
                    </a:stretch>
                  </pic:blipFill>
                  <pic:spPr bwMode="auto">
                    <a:xfrm>
                      <a:off x="0" y="0"/>
                      <a:ext cx="5334000" cy="3474095"/>
                    </a:xfrm>
                    <a:prstGeom prst="rect">
                      <a:avLst/>
                    </a:prstGeom>
                    <a:noFill/>
                    <a:ln w="9525">
                      <a:noFill/>
                      <a:headEnd/>
                      <a:tailEnd/>
                    </a:ln>
                  </pic:spPr>
                </pic:pic>
              </a:graphicData>
            </a:graphic>
          </wp:inline>
        </w:drawing>
      </w:r>
    </w:p>
    <w:p>
      <w:pPr>
        <w:pStyle w:val="BodyText"/>
        <w:spacing w:after="200"/>
        <w:jc w:val="both"/>
      </w:pPr>
      <w:r>
        <w:rPr>
          <w:bCs/>
          <w:b/>
          <w:sz w:val="19"/>
        </w:rPr>
        <w:t xml:space="preserve">圖 22　一場大型災害的公所勘查人日與 30 日量能。</w:t>
      </w:r>
    </w:p>
    <w:p>
      <w:pPr>
        <w:pStyle w:val="BodyText"/>
        <w:keepNext/>
        <w:spacing w:before="160"/>
        <w:jc w:val="both"/>
      </w:pPr>
      <w:r>
        <w:rPr>
          <w:bCs/>
          <w:rFonts w:ascii="Times New Roman" w:hAnsi="Times New Roman" w:eastAsia="微軟正黑體"/>
          <w:b/>
          <w:sz w:val="20"/>
        </w:rPr>
        <w:t xml:space="preserve">表 16　導入前後的公所勘查人力</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1584"/>
        <w:gridCol w:w="1584"/>
        <w:gridCol w:w="1584"/>
        <w:gridCol w:w="1584"/>
        <w:gridCol w:w="1584"/>
      </w:tblGrid>
      <w:tr>
        <w:trPr>
          <w:tblHeader w:val="true"/>
        </w:trPr>
        <w:tc>
          <w:tcPr>
            <w:shd w:val="clear" w:color="auto" w:fill="E8EDF6"/>
          </w:tcPr>
          <w:p>
            <w:pPr>
              <w:pStyle w:val="Compact"/>
              <w:spacing w:after="20" w:line="276" w:lineRule="auto"/>
              <w:jc w:val="left"/>
            </w:pPr>
            <w:r>
              <w:rPr>
                <w:b/>
                <w:sz w:val="19"/>
              </w:rPr>
              <w:t xml:space="preserve">指標</w:t>
            </w:r>
          </w:p>
        </w:tc>
        <w:tc>
          <w:tcPr>
            <w:shd w:val="clear" w:color="auto" w:fill="E8EDF6"/>
          </w:tcPr>
          <w:p>
            <w:pPr>
              <w:pStyle w:val="Compact"/>
              <w:spacing w:after="20" w:line="276" w:lineRule="auto"/>
              <w:jc w:val="left"/>
            </w:pPr>
            <w:r>
              <w:rPr>
                <w:b/>
                <w:sz w:val="19"/>
              </w:rPr>
              <w:t xml:space="preserve">現行</w:t>
            </w:r>
          </w:p>
        </w:tc>
        <w:tc>
          <w:tcPr>
            <w:shd w:val="clear" w:color="auto" w:fill="E8EDF6"/>
          </w:tcPr>
          <w:p>
            <w:pPr>
              <w:pStyle w:val="Compact"/>
              <w:spacing w:after="20" w:line="276" w:lineRule="auto"/>
              <w:jc w:val="left"/>
            </w:pPr>
            <w:r>
              <w:rPr>
                <w:b/>
                <w:sz w:val="19"/>
              </w:rPr>
              <w:t xml:space="preserve">C 級 15 筆</w:t>
            </w:r>
          </w:p>
        </w:tc>
        <w:tc>
          <w:tcPr>
            <w:shd w:val="clear" w:color="auto" w:fill="E8EDF6"/>
          </w:tcPr>
          <w:p>
            <w:pPr>
              <w:pStyle w:val="Compact"/>
              <w:spacing w:after="20" w:line="276" w:lineRule="auto"/>
              <w:jc w:val="left"/>
            </w:pPr>
            <w:r>
              <w:rPr>
                <w:b/>
                <w:sz w:val="19"/>
              </w:rPr>
              <w:t xml:space="preserve">C 級 12 筆（基準）</w:t>
            </w:r>
          </w:p>
        </w:tc>
        <w:tc>
          <w:tcPr>
            <w:shd w:val="clear" w:color="auto" w:fill="E8EDF6"/>
          </w:tcPr>
          <w:p>
            <w:pPr>
              <w:pStyle w:val="Compact"/>
              <w:spacing w:after="20" w:line="276" w:lineRule="auto"/>
              <w:jc w:val="left"/>
            </w:pPr>
            <w:r>
              <w:rPr>
                <w:b/>
                <w:sz w:val="19"/>
              </w:rPr>
              <w:t xml:space="preserve">C 級 10 筆</w:t>
            </w:r>
          </w:p>
        </w:tc>
      </w:tr>
      <w:tr>
        <w:tc>
          <w:tcPr/>
          <w:p>
            <w:pPr>
              <w:pStyle w:val="Compact"/>
              <w:spacing w:after="20" w:line="276" w:lineRule="auto"/>
              <w:jc w:val="left"/>
            </w:pPr>
            <w:r>
              <w:rPr>
                <w:sz w:val="19"/>
              </w:rPr>
              <w:t xml:space="preserve">公所勘查人日</w:t>
            </w:r>
          </w:p>
        </w:tc>
        <w:tc>
          <w:tcPr/>
          <w:p>
            <w:pPr>
              <w:pStyle w:val="Compact"/>
              <w:spacing w:after="20" w:line="276" w:lineRule="auto"/>
              <w:jc w:val="left"/>
            </w:pPr>
            <w:r>
              <w:rPr>
                <w:sz w:val="19"/>
              </w:rPr>
              <w:t xml:space="preserve">21,018</w:t>
            </w:r>
          </w:p>
        </w:tc>
        <w:tc>
          <w:tcPr/>
          <w:p>
            <w:pPr>
              <w:pStyle w:val="Compact"/>
              <w:spacing w:after="20" w:line="276" w:lineRule="auto"/>
              <w:jc w:val="left"/>
            </w:pPr>
            <w:r>
              <w:rPr>
                <w:sz w:val="19"/>
              </w:rPr>
              <w:t xml:space="preserve">13,399</w:t>
            </w:r>
          </w:p>
        </w:tc>
        <w:tc>
          <w:tcPr/>
          <w:p>
            <w:pPr>
              <w:pStyle w:val="Compact"/>
              <w:spacing w:after="20" w:line="276" w:lineRule="auto"/>
              <w:jc w:val="left"/>
            </w:pPr>
            <w:r>
              <w:rPr>
                <w:sz w:val="19"/>
              </w:rPr>
              <w:t xml:space="preserve">16,026</w:t>
            </w:r>
          </w:p>
        </w:tc>
        <w:tc>
          <w:tcPr/>
          <w:p>
            <w:pPr>
              <w:pStyle w:val="Compact"/>
              <w:spacing w:after="20" w:line="276" w:lineRule="auto"/>
              <w:jc w:val="left"/>
            </w:pPr>
            <w:r>
              <w:rPr>
                <w:sz w:val="19"/>
              </w:rPr>
              <w:t xml:space="preserve">18,653</w:t>
            </w:r>
          </w:p>
        </w:tc>
      </w:tr>
      <w:tr>
        <w:tc>
          <w:tcPr/>
          <w:p>
            <w:pPr>
              <w:pStyle w:val="Compact"/>
              <w:spacing w:after="20" w:line="276" w:lineRule="auto"/>
              <w:jc w:val="left"/>
            </w:pPr>
            <w:r>
              <w:rPr>
                <w:sz w:val="19"/>
              </w:rPr>
              <w:t xml:space="preserve">占 30 日量能</w:t>
            </w:r>
          </w:p>
        </w:tc>
        <w:tc>
          <w:tcPr/>
          <w:p>
            <w:pPr>
              <w:pStyle w:val="Compact"/>
              <w:spacing w:after="20" w:line="276" w:lineRule="auto"/>
              <w:jc w:val="left"/>
            </w:pPr>
            <w:r>
              <w:rPr>
                <w:sz w:val="19"/>
              </w:rPr>
              <w:t xml:space="preserve">113%</w:t>
            </w:r>
          </w:p>
        </w:tc>
        <w:tc>
          <w:tcPr/>
          <w:p>
            <w:pPr>
              <w:pStyle w:val="Compact"/>
              <w:spacing w:after="20" w:line="276" w:lineRule="auto"/>
              <w:jc w:val="left"/>
            </w:pPr>
            <w:r>
              <w:rPr>
                <w:sz w:val="19"/>
              </w:rPr>
              <w:t xml:space="preserve">72%</w:t>
            </w:r>
          </w:p>
        </w:tc>
        <w:tc>
          <w:tcPr/>
          <w:p>
            <w:pPr>
              <w:pStyle w:val="Compact"/>
              <w:spacing w:after="20" w:line="276" w:lineRule="auto"/>
              <w:jc w:val="left"/>
            </w:pPr>
            <w:r>
              <w:rPr>
                <w:sz w:val="19"/>
              </w:rPr>
              <w:t xml:space="preserve">86%</w:t>
            </w:r>
          </w:p>
        </w:tc>
        <w:tc>
          <w:tcPr/>
          <w:p>
            <w:pPr>
              <w:pStyle w:val="Compact"/>
              <w:spacing w:after="20" w:line="276" w:lineRule="auto"/>
              <w:jc w:val="left"/>
            </w:pPr>
            <w:r>
              <w:rPr>
                <w:sz w:val="19"/>
              </w:rPr>
              <w:t xml:space="preserve">100%</w:t>
            </w:r>
          </w:p>
        </w:tc>
      </w:tr>
      <w:tr>
        <w:tc>
          <w:tcPr/>
          <w:p>
            <w:pPr>
              <w:pStyle w:val="Compact"/>
              <w:spacing w:after="20" w:line="276" w:lineRule="auto"/>
              <w:jc w:val="left"/>
            </w:pPr>
            <w:r>
              <w:rPr>
                <w:sz w:val="19"/>
              </w:rPr>
              <w:t xml:space="preserve">釋出人日</w:t>
            </w:r>
          </w:p>
        </w:tc>
        <w:tc>
          <w:tcPr/>
          <w:p>
            <w:pPr>
              <w:pStyle w:val="Compact"/>
              <w:spacing w:after="20" w:line="276" w:lineRule="auto"/>
              <w:jc w:val="left"/>
            </w:pPr>
            <w:r>
              <w:rPr>
                <w:sz w:val="19"/>
              </w:rPr>
              <w:t xml:space="preserve">不足 2,454</w:t>
            </w:r>
          </w:p>
        </w:tc>
        <w:tc>
          <w:tcPr/>
          <w:p>
            <w:pPr>
              <w:pStyle w:val="Compact"/>
              <w:spacing w:after="20" w:line="276" w:lineRule="auto"/>
              <w:jc w:val="left"/>
            </w:pPr>
            <w:r>
              <w:rPr>
                <w:sz w:val="19"/>
              </w:rPr>
              <w:t xml:space="preserve">7,619</w:t>
            </w:r>
          </w:p>
        </w:tc>
        <w:tc>
          <w:tcPr/>
          <w:p>
            <w:pPr>
              <w:pStyle w:val="Compact"/>
              <w:spacing w:after="20" w:line="276" w:lineRule="auto"/>
              <w:jc w:val="left"/>
            </w:pPr>
            <w:r>
              <w:rPr>
                <w:sz w:val="19"/>
              </w:rPr>
              <w:t xml:space="preserve">4,992</w:t>
            </w:r>
          </w:p>
        </w:tc>
        <w:tc>
          <w:tcPr/>
          <w:p>
            <w:pPr>
              <w:pStyle w:val="Compact"/>
              <w:spacing w:after="20" w:line="276" w:lineRule="auto"/>
              <w:jc w:val="left"/>
            </w:pPr>
            <w:r>
              <w:rPr>
                <w:sz w:val="19"/>
              </w:rPr>
              <w:t xml:space="preserve">2,364</w:t>
            </w:r>
          </w:p>
        </w:tc>
      </w:tr>
      <w:tr>
        <w:tc>
          <w:tcPr/>
          <w:p>
            <w:pPr>
              <w:pStyle w:val="Compact"/>
              <w:spacing w:after="20" w:line="276" w:lineRule="auto"/>
              <w:jc w:val="left"/>
            </w:pPr>
            <w:r>
              <w:rPr>
                <w:sz w:val="19"/>
              </w:rPr>
              <w:t xml:space="preserve">每筆難案時間</w:t>
            </w:r>
          </w:p>
        </w:tc>
        <w:tc>
          <w:tcPr/>
          <w:p>
            <w:pPr>
              <w:pStyle w:val="Compact"/>
              <w:spacing w:after="20" w:line="276" w:lineRule="auto"/>
              <w:jc w:val="left"/>
            </w:pPr>
            <w:r>
              <w:rPr>
                <w:sz w:val="19"/>
              </w:rPr>
              <w:t xml:space="preserve">約 32 分鐘</w:t>
            </w:r>
          </w:p>
        </w:tc>
        <w:tc>
          <w:tcPr/>
          <w:p>
            <w:pPr>
              <w:pStyle w:val="Compact"/>
              <w:spacing w:after="20" w:line="276" w:lineRule="auto"/>
              <w:jc w:val="left"/>
            </w:pPr>
            <w:r>
              <w:rPr>
                <w:sz w:val="19"/>
              </w:rPr>
              <w:t xml:space="preserve">約 32 分鐘</w:t>
            </w:r>
          </w:p>
        </w:tc>
        <w:tc>
          <w:tcPr/>
          <w:p>
            <w:pPr>
              <w:pStyle w:val="Compact"/>
              <w:spacing w:after="20" w:line="276" w:lineRule="auto"/>
              <w:jc w:val="left"/>
            </w:pPr>
            <w:r>
              <w:rPr>
                <w:sz w:val="19"/>
              </w:rPr>
              <w:t xml:space="preserve">約 40 分鐘</w:t>
            </w:r>
          </w:p>
        </w:tc>
        <w:tc>
          <w:tcPr/>
          <w:p>
            <w:pPr>
              <w:pStyle w:val="Compact"/>
              <w:spacing w:after="20" w:line="276" w:lineRule="auto"/>
              <w:jc w:val="left"/>
            </w:pPr>
            <w:r>
              <w:rPr>
                <w:sz w:val="19"/>
              </w:rPr>
              <w:t xml:space="preserve">約 48 分鐘</w:t>
            </w:r>
          </w:p>
        </w:tc>
      </w:tr>
    </w:tbl>
    <w:p>
      <w:pPr>
        <w:pStyle w:val="BodyText"/>
        <w:keepNext/>
        <w:spacing w:before="160"/>
        <w:jc w:val="both"/>
      </w:pPr>
      <w:r>
        <w:rPr>
          <w:bCs/>
          <w:rFonts w:ascii="Times New Roman" w:hAnsi="Times New Roman" w:eastAsia="微軟正黑體"/>
          <w:b/>
          <w:color w:val="14213D"/>
        </w:rPr>
        <w:t xml:space="preserve">(3) 資料中心成本與總成本</w:t>
      </w:r>
    </w:p>
    <w:p>
      <w:pPr>
        <w:pStyle w:val="BodyText"/>
        <w:jc w:val="both"/>
      </w:pPr>
      <w:r>
        <w:rPr>
          <w:bCs/>
          <w:b/>
        </w:rPr>
        <w:t xml:space="preserve">資料中心年度成本約 7,257 萬至 8,319 萬元；每年三場大型災害時，總成本較現行高 0%–4%。</w:t>
      </w:r>
    </w:p>
    <w:p>
      <w:pPr>
        <w:pStyle w:val="BodyText"/>
        <w:jc w:val="both"/>
      </w:pPr>
      <w:r>
        <w:t xml:space="preserve">天相星由專責資料中心營運，常設 37 人（遙測與 AI、資料工程、平台、資安、導入、客服、田野驗證、政策法規與行政），年度總成本約 7,257 萬至 8,319 萬元；人事約占五至六成，影像費因福衛八號價格未公開而範圍最大，雲端算力因坵塊化設計每年僅約 70 萬元（圖 23）〔93〕〔95〕〔97〕。</w:t>
      </w:r>
    </w:p>
    <w:p>
      <w:pPr>
        <w:pStyle w:val="BodyText"/>
        <w:keepNext/>
        <w:jc w:val="center"/>
      </w:pPr>
      <w:r>
        <w:drawing>
          <wp:inline>
            <wp:extent cx="5334000" cy="2855667"/>
            <wp:effectExtent b="0" l="0" r="0" t="0"/>
            <wp:docPr descr="" title="" id="102" name="Picture"/>
            <a:graphic>
              <a:graphicData uri="http://schemas.openxmlformats.org/drawingml/2006/picture">
                <pic:pic>
                  <pic:nvPicPr>
                    <pic:cNvPr descr="charts/fig7_cost.png" id="103" name="Picture"/>
                    <pic:cNvPicPr>
                      <a:picLocks noChangeArrowheads="1" noChangeAspect="1"/>
                    </pic:cNvPicPr>
                  </pic:nvPicPr>
                  <pic:blipFill>
                    <a:blip r:embed="rId101"/>
                    <a:stretch>
                      <a:fillRect/>
                    </a:stretch>
                  </pic:blipFill>
                  <pic:spPr bwMode="auto">
                    <a:xfrm>
                      <a:off x="0" y="0"/>
                      <a:ext cx="5334000" cy="2855667"/>
                    </a:xfrm>
                    <a:prstGeom prst="rect">
                      <a:avLst/>
                    </a:prstGeom>
                    <a:noFill/>
                    <a:ln w="9525">
                      <a:noFill/>
                      <a:headEnd/>
                      <a:tailEnd/>
                    </a:ln>
                  </pic:spPr>
                </pic:pic>
              </a:graphicData>
            </a:graphic>
          </wp:inline>
        </w:drawing>
      </w:r>
    </w:p>
    <w:p>
      <w:pPr>
        <w:pStyle w:val="BodyText"/>
        <w:spacing w:after="200"/>
        <w:jc w:val="both"/>
      </w:pPr>
      <w:r>
        <w:rPr>
          <w:bCs/>
          <w:b/>
          <w:sz w:val="19"/>
        </w:rPr>
        <w:t xml:space="preserve">圖 23　資料中心年度成本結構。</w:t>
      </w:r>
    </w:p>
    <w:p>
      <w:pPr>
        <w:pStyle w:val="BodyText"/>
        <w:jc w:val="both"/>
      </w:pPr>
      <w:r>
        <w:t xml:space="preserve">將公所人力與資料中心成本合併後（圖 24），每年一場大型災害時總成本增加約 3,600 萬至 7,200 萬元；三場時大致持平（基準情境高 0%–4%）；五場以上才明顯降低。因此本作品不主張節省支出，其價值在於以大致相同的總成本，換取公所不再超出量能、難案有更多時間、每筆案件皆具災前證據。若改以增聘人力達成相同目標，每個參與勘查的公所增聘 1 人每年約需 2.59 億元，本作品的新增支出約為其 1/3 至 1/6，且增聘人員仍只能看到災後的田。</w:t>
      </w:r>
    </w:p>
    <w:p>
      <w:pPr>
        <w:pStyle w:val="BodyText"/>
        <w:keepNext/>
        <w:jc w:val="center"/>
      </w:pPr>
      <w:r>
        <w:drawing>
          <wp:inline>
            <wp:extent cx="5334000" cy="3342078"/>
            <wp:effectExtent b="0" l="0" r="0" t="0"/>
            <wp:docPr descr="" title="" id="105" name="Picture"/>
            <a:graphic>
              <a:graphicData uri="http://schemas.openxmlformats.org/drawingml/2006/picture">
                <pic:pic>
                  <pic:nvPicPr>
                    <pic:cNvPr descr="charts/fig9_total.png" id="106" name="Picture"/>
                    <pic:cNvPicPr>
                      <a:picLocks noChangeArrowheads="1" noChangeAspect="1"/>
                    </pic:cNvPicPr>
                  </pic:nvPicPr>
                  <pic:blipFill>
                    <a:blip r:embed="rId104"/>
                    <a:stretch>
                      <a:fillRect/>
                    </a:stretch>
                  </pic:blipFill>
                  <pic:spPr bwMode="auto">
                    <a:xfrm>
                      <a:off x="0" y="0"/>
                      <a:ext cx="5334000" cy="3342078"/>
                    </a:xfrm>
                    <a:prstGeom prst="rect">
                      <a:avLst/>
                    </a:prstGeom>
                    <a:noFill/>
                    <a:ln w="9525">
                      <a:noFill/>
                      <a:headEnd/>
                      <a:tailEnd/>
                    </a:ln>
                  </pic:spPr>
                </pic:pic>
              </a:graphicData>
            </a:graphic>
          </wp:inline>
        </w:drawing>
      </w:r>
    </w:p>
    <w:p>
      <w:pPr>
        <w:pStyle w:val="BodyText"/>
        <w:spacing w:after="200"/>
        <w:jc w:val="both"/>
      </w:pPr>
      <w:r>
        <w:rPr>
          <w:bCs/>
          <w:b/>
          <w:sz w:val="19"/>
        </w:rPr>
        <w:t xml:space="preserve">圖 24　含公所勘查人力的年度總成本（每年三場大型災害）。</w:t>
      </w:r>
    </w:p>
    <w:p>
      <w:pPr>
        <w:pStyle w:val="BodyText"/>
        <w:keepNext/>
        <w:spacing w:before="160"/>
        <w:jc w:val="both"/>
      </w:pPr>
      <w:r>
        <w:rPr>
          <w:bCs/>
          <w:rFonts w:ascii="Times New Roman" w:hAnsi="Times New Roman" w:eastAsia="微軟正黑體"/>
          <w:b/>
          <w:color w:val="14213D"/>
        </w:rPr>
        <w:t xml:space="preserve">(4) 撥款提早、判定準確度與敏感度</w:t>
      </w:r>
    </w:p>
    <w:p>
      <w:pPr>
        <w:pStyle w:val="BodyText"/>
        <w:jc w:val="both"/>
      </w:pPr>
      <w:r>
        <w:rPr>
          <w:bCs/>
          <w:b/>
        </w:rPr>
        <w:t xml:space="preserve">轉免勘案件每件約提早 28 天撥款；效益受轉免勘比例影響最大，而此比例取決於公所對存證報告的採信程度。</w:t>
      </w:r>
    </w:p>
    <w:p>
      <w:pPr>
        <w:pStyle w:val="BodyText"/>
        <w:jc w:val="both"/>
      </w:pPr>
      <w:r>
        <w:t xml:space="preserve">轉為免勘的案件每件約可縮短 28 天（58 降至 30 天）〔42〕；以轉免勘 50% 計，約 6.7 萬件改走免勘流程；以一般現勘案件 134,006 件為基礎，轉免勘 30%、50%、70% 時全體平均撥款天數分別為 49.6、46.0、42.4 天（圖 25）。在判定準確度上，若田區級證據能使 2.615 億元不當給付中的 10%–30% 被正確複核，單次災害可避免約 2,615 萬至 7,845 萬元的不當給付（推估）。</w:t>
      </w:r>
    </w:p>
    <w:p>
      <w:pPr>
        <w:pStyle w:val="BodyText"/>
        <w:keepNext/>
        <w:jc w:val="center"/>
      </w:pPr>
      <w:r>
        <w:drawing>
          <wp:inline>
            <wp:extent cx="5334000" cy="2148416"/>
            <wp:effectExtent b="0" l="0" r="0" t="0"/>
            <wp:docPr descr="" title="" id="108" name="Picture"/>
            <a:graphic>
              <a:graphicData uri="http://schemas.openxmlformats.org/drawingml/2006/picture">
                <pic:pic>
                  <pic:nvPicPr>
                    <pic:cNvPr descr="charts/n9_days.png" id="109" name="Picture"/>
                    <pic:cNvPicPr>
                      <a:picLocks noChangeArrowheads="1" noChangeAspect="1"/>
                    </pic:cNvPicPr>
                  </pic:nvPicPr>
                  <pic:blipFill>
                    <a:blip r:embed="rId107"/>
                    <a:stretch>
                      <a:fillRect/>
                    </a:stretch>
                  </pic:blipFill>
                  <pic:spPr bwMode="auto">
                    <a:xfrm>
                      <a:off x="0" y="0"/>
                      <a:ext cx="5334000" cy="2148416"/>
                    </a:xfrm>
                    <a:prstGeom prst="rect">
                      <a:avLst/>
                    </a:prstGeom>
                    <a:noFill/>
                    <a:ln w="9525">
                      <a:noFill/>
                      <a:headEnd/>
                      <a:tailEnd/>
                    </a:ln>
                  </pic:spPr>
                </pic:pic>
              </a:graphicData>
            </a:graphic>
          </wp:inline>
        </w:drawing>
      </w:r>
    </w:p>
    <w:p>
      <w:pPr>
        <w:pStyle w:val="BodyText"/>
        <w:spacing w:after="200"/>
        <w:jc w:val="both"/>
      </w:pPr>
      <w:r>
        <w:rPr>
          <w:bCs/>
          <w:b/>
          <w:sz w:val="19"/>
        </w:rPr>
        <w:t xml:space="preserve">圖 25　轉免勘比例與平均撥款天數。</w:t>
      </w:r>
      <w:r>
        <w:rPr>
          <w:sz w:val="19"/>
        </w:rPr>
        <w:t xml:space="preserve"> </w:t>
      </w:r>
      <w:r>
        <w:rPr>
          <w:sz w:val="19"/>
        </w:rPr>
        <w:t xml:space="preserve">人日以申請土地筆數計，撥款天數以救助案件件數計，兩者單位不同。</w:t>
      </w:r>
    </w:p>
    <w:p>
      <w:pPr>
        <w:pStyle w:val="BodyText"/>
        <w:jc w:val="both"/>
      </w:pPr>
      <w:r>
        <w:t xml:space="preserve">敏感度分析顯示（圖 26），轉免勘比例與 C 級效率影響最大：轉免勘僅 30% 時公所仍超出量能（108%）。因此，A、B 級精確度與公所對存證報告的信任，決定導入的成效。主要假設包括單一公所樣本的人事成本、每人日現勘筆數、轉免勘比例與資料中心薪資倍數，將於試辦中校正。</w:t>
      </w:r>
    </w:p>
    <w:p>
      <w:pPr>
        <w:pStyle w:val="BodyText"/>
        <w:keepNext/>
        <w:jc w:val="center"/>
      </w:pPr>
      <w:r>
        <w:drawing>
          <wp:inline>
            <wp:extent cx="5334000" cy="2148416"/>
            <wp:effectExtent b="0" l="0" r="0" t="0"/>
            <wp:docPr descr="" title="" id="111" name="Picture"/>
            <a:graphic>
              <a:graphicData uri="http://schemas.openxmlformats.org/drawingml/2006/picture">
                <pic:pic>
                  <pic:nvPicPr>
                    <pic:cNvPr descr="charts/n10_tornado.png" id="112" name="Picture"/>
                    <pic:cNvPicPr>
                      <a:picLocks noChangeArrowheads="1" noChangeAspect="1"/>
                    </pic:cNvPicPr>
                  </pic:nvPicPr>
                  <pic:blipFill>
                    <a:blip r:embed="rId110"/>
                    <a:stretch>
                      <a:fillRect/>
                    </a:stretch>
                  </pic:blipFill>
                  <pic:spPr bwMode="auto">
                    <a:xfrm>
                      <a:off x="0" y="0"/>
                      <a:ext cx="5334000" cy="2148416"/>
                    </a:xfrm>
                    <a:prstGeom prst="rect">
                      <a:avLst/>
                    </a:prstGeom>
                    <a:noFill/>
                    <a:ln w="9525">
                      <a:noFill/>
                      <a:headEnd/>
                      <a:tailEnd/>
                    </a:ln>
                  </pic:spPr>
                </pic:pic>
              </a:graphicData>
            </a:graphic>
          </wp:inline>
        </w:drawing>
      </w:r>
    </w:p>
    <w:p>
      <w:pPr>
        <w:pStyle w:val="BodyText"/>
        <w:spacing w:after="200"/>
        <w:jc w:val="both"/>
      </w:pPr>
      <w:r>
        <w:rPr>
          <w:bCs/>
          <w:b/>
          <w:sz w:val="19"/>
        </w:rPr>
        <w:t xml:space="preserve">圖 26　敏感度分析。</w:t>
      </w:r>
    </w:p>
    <w:bookmarkEnd w:id="113"/>
    <w:bookmarkStart w:id="114" w:name="社會效益"/>
    <w:p>
      <w:pPr>
        <w:pStyle w:val="Heading3"/>
      </w:pPr>
      <w:r>
        <w:t xml:space="preserve">2. 社會效益</w:t>
      </w:r>
    </w:p>
    <w:p>
      <w:pPr>
        <w:pStyle w:val="FirstParagraph"/>
        <w:jc w:val="both"/>
      </w:pPr>
      <w:r>
        <w:rPr>
          <w:bCs/>
          <w:b/>
        </w:rPr>
        <w:t xml:space="preserve">社會效益包括救助時效、農民往返與安全、偏鄉與漁業受災的舉證。</w:t>
      </w:r>
    </w:p>
    <w:p>
      <w:pPr>
        <w:pStyle w:val="BodyText"/>
        <w:jc w:val="both"/>
      </w:pPr>
      <w:r>
        <w:t xml:space="preserve">本作品的社會效益涵蓋救助時效、農民負擔、偏鄉公平與人員安全、爭議、漁業與財政紀律六個面向（表 17）。</w:t>
      </w:r>
    </w:p>
    <w:p>
      <w:pPr>
        <w:pStyle w:val="BodyText"/>
        <w:keepNext/>
        <w:spacing w:before="160"/>
        <w:jc w:val="both"/>
      </w:pPr>
      <w:r>
        <w:rPr>
          <w:bCs/>
          <w:rFonts w:ascii="Times New Roman" w:hAnsi="Times New Roman" w:eastAsia="微軟正黑體"/>
          <w:b/>
          <w:sz w:val="20"/>
        </w:rPr>
        <w:t xml:space="preserve">表 17　社會效益</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3960"/>
        <w:gridCol w:w="3960"/>
      </w:tblGrid>
      <w:tr>
        <w:trPr>
          <w:tblHeader w:val="true"/>
        </w:trPr>
        <w:tc>
          <w:tcPr>
            <w:shd w:val="clear" w:color="auto" w:fill="E8EDF6"/>
          </w:tcPr>
          <w:p>
            <w:pPr>
              <w:pStyle w:val="Compact"/>
              <w:spacing w:after="20" w:line="276" w:lineRule="auto"/>
              <w:jc w:val="left"/>
            </w:pPr>
            <w:r>
              <w:rPr>
                <w:b/>
                <w:sz w:val="19"/>
              </w:rPr>
              <w:t xml:space="preserve">效益</w:t>
            </w:r>
          </w:p>
        </w:tc>
        <w:tc>
          <w:tcPr>
            <w:shd w:val="clear" w:color="auto" w:fill="E8EDF6"/>
          </w:tcPr>
          <w:p>
            <w:pPr>
              <w:pStyle w:val="Compact"/>
              <w:spacing w:after="20" w:line="276" w:lineRule="auto"/>
              <w:jc w:val="left"/>
            </w:pPr>
            <w:r>
              <w:rPr>
                <w:b/>
                <w:sz w:val="19"/>
              </w:rPr>
              <w:t xml:space="preserve">指標或依據</w:t>
            </w:r>
          </w:p>
        </w:tc>
      </w:tr>
      <w:tr>
        <w:tc>
          <w:tcPr/>
          <w:p>
            <w:pPr>
              <w:pStyle w:val="Compact"/>
              <w:spacing w:after="20" w:line="276" w:lineRule="auto"/>
              <w:jc w:val="left"/>
            </w:pPr>
            <w:r>
              <w:rPr>
                <w:sz w:val="19"/>
              </w:rPr>
              <w:t xml:space="preserve">救助更快到位</w:t>
            </w:r>
          </w:p>
        </w:tc>
        <w:tc>
          <w:tcPr/>
          <w:p>
            <w:pPr>
              <w:pStyle w:val="Compact"/>
              <w:spacing w:after="20" w:line="276" w:lineRule="auto"/>
              <w:jc w:val="left"/>
            </w:pPr>
            <w:r>
              <w:rPr>
                <w:sz w:val="19"/>
              </w:rPr>
              <w:t xml:space="preserve">轉換案件每件提早約 28 天；全體平均提早 5.4–12.6 天〔42〕</w:t>
            </w:r>
          </w:p>
        </w:tc>
      </w:tr>
      <w:tr>
        <w:tc>
          <w:tcPr/>
          <w:p>
            <w:pPr>
              <w:pStyle w:val="Compact"/>
              <w:spacing w:after="20" w:line="276" w:lineRule="auto"/>
              <w:jc w:val="left"/>
            </w:pPr>
            <w:r>
              <w:rPr>
                <w:sz w:val="19"/>
              </w:rPr>
              <w:t xml:space="preserve">農民少跑、少冒險</w:t>
            </w:r>
          </w:p>
        </w:tc>
        <w:tc>
          <w:tcPr/>
          <w:p>
            <w:pPr>
              <w:pStyle w:val="Compact"/>
              <w:spacing w:after="20" w:line="276" w:lineRule="auto"/>
              <w:jc w:val="left"/>
            </w:pPr>
            <w:r>
              <w:rPr>
                <w:sz w:val="19"/>
              </w:rPr>
              <w:t xml:space="preserve">預填申請、QR 碼送件；路不通不必進田</w:t>
            </w:r>
          </w:p>
        </w:tc>
      </w:tr>
      <w:tr>
        <w:tc>
          <w:tcPr/>
          <w:p>
            <w:pPr>
              <w:pStyle w:val="Compact"/>
              <w:spacing w:after="20" w:line="276" w:lineRule="auto"/>
              <w:jc w:val="left"/>
            </w:pPr>
            <w:r>
              <w:rPr>
                <w:sz w:val="19"/>
              </w:rPr>
              <w:t xml:space="preserve">偏鄉公平與人員安全</w:t>
            </w:r>
          </w:p>
        </w:tc>
        <w:tc>
          <w:tcPr/>
          <w:p>
            <w:pPr>
              <w:pStyle w:val="Compact"/>
              <w:spacing w:after="20" w:line="276" w:lineRule="auto"/>
              <w:jc w:val="left"/>
            </w:pPr>
            <w:r>
              <w:rPr>
                <w:sz w:val="19"/>
              </w:rPr>
              <w:t xml:space="preserve">人到不了的田亦有證據；山區先以衛星處理〔4〕〔8〕</w:t>
            </w:r>
          </w:p>
        </w:tc>
      </w:tr>
      <w:tr>
        <w:tc>
          <w:tcPr/>
          <w:p>
            <w:pPr>
              <w:pStyle w:val="Compact"/>
              <w:spacing w:after="20" w:line="276" w:lineRule="auto"/>
              <w:jc w:val="left"/>
            </w:pPr>
            <w:r>
              <w:rPr>
                <w:sz w:val="19"/>
              </w:rPr>
              <w:t xml:space="preserve">爭議減少</w:t>
            </w:r>
          </w:p>
        </w:tc>
        <w:tc>
          <w:tcPr/>
          <w:p>
            <w:pPr>
              <w:pStyle w:val="Compact"/>
              <w:spacing w:after="20" w:line="276" w:lineRule="auto"/>
              <w:jc w:val="left"/>
            </w:pPr>
            <w:r>
              <w:rPr>
                <w:sz w:val="19"/>
              </w:rPr>
              <w:t xml:space="preserve">申覆時有影像對照與可溯源紀錄；溪州初勘未通過率 12.7%〔48〕</w:t>
            </w:r>
          </w:p>
        </w:tc>
      </w:tr>
      <w:tr>
        <w:tc>
          <w:tcPr/>
          <w:p>
            <w:pPr>
              <w:pStyle w:val="Compact"/>
              <w:spacing w:after="20" w:line="276" w:lineRule="auto"/>
              <w:jc w:val="left"/>
            </w:pPr>
            <w:r>
              <w:rPr>
                <w:sz w:val="19"/>
              </w:rPr>
              <w:t xml:space="preserve">漁業受災可證明</w:t>
            </w:r>
          </w:p>
        </w:tc>
        <w:tc>
          <w:tcPr/>
          <w:p>
            <w:pPr>
              <w:pStyle w:val="Compact"/>
              <w:spacing w:after="20" w:line="276" w:lineRule="auto"/>
              <w:jc w:val="left"/>
            </w:pPr>
            <w:r>
              <w:rPr>
                <w:sz w:val="19"/>
              </w:rPr>
              <w:t xml:space="preserve">魚塭在養與溢堤證據；丹娜絲漁產損失約 7.7 億元〔49〕</w:t>
            </w:r>
          </w:p>
        </w:tc>
      </w:tr>
      <w:tr>
        <w:tc>
          <w:tcPr/>
          <w:p>
            <w:pPr>
              <w:pStyle w:val="Compact"/>
              <w:spacing w:after="20" w:line="276" w:lineRule="auto"/>
              <w:jc w:val="left"/>
            </w:pPr>
            <w:r>
              <w:rPr>
                <w:sz w:val="19"/>
              </w:rPr>
              <w:t xml:space="preserve">財政紀律</w:t>
            </w:r>
          </w:p>
        </w:tc>
        <w:tc>
          <w:tcPr/>
          <w:p>
            <w:pPr>
              <w:pStyle w:val="Compact"/>
              <w:spacing w:after="20" w:line="276" w:lineRule="auto"/>
              <w:jc w:val="left"/>
            </w:pPr>
            <w:r>
              <w:rPr>
                <w:sz w:val="19"/>
              </w:rPr>
              <w:t xml:space="preserve">救助經費 2017–2022 年六年五年超支，判定更準確可減少不當給付〔42〕〔43〕</w:t>
            </w:r>
          </w:p>
        </w:tc>
      </w:tr>
    </w:tbl>
    <w:p>
      <w:pPr>
        <w:pStyle w:val="BodyText"/>
        <w:jc w:val="both"/>
      </w:pPr>
      <w:r>
        <w:t xml:space="preserve">救助額度提高亦放大準確勘查的價值：2026 年 3 月修正後，香菇及木耳由每公頃 7.15 萬元提高至 112.5 萬元〔51〕，每筆認定錯誤的代價隨之提高。</w:t>
      </w:r>
    </w:p>
    <w:bookmarkEnd w:id="114"/>
    <w:bookmarkStart w:id="115" w:name="產業與商業效益"/>
    <w:p>
      <w:pPr>
        <w:pStyle w:val="Heading3"/>
      </w:pPr>
      <w:r>
        <w:t xml:space="preserve">3. 產業與商業效益</w:t>
      </w:r>
    </w:p>
    <w:p>
      <w:pPr>
        <w:pStyle w:val="FirstParagraph"/>
        <w:jc w:val="both"/>
      </w:pPr>
      <w:r>
        <w:rPr>
          <w:bCs/>
          <w:b/>
        </w:rPr>
        <w:t xml:space="preserve">基礎版由政府統一採購、供公所與農民免費使用，進階版供農會與產險採購；影像來源包含國內自主衛星。</w:t>
      </w:r>
    </w:p>
    <w:p>
      <w:pPr>
        <w:pStyle w:val="BodyText"/>
        <w:jc w:val="both"/>
      </w:pPr>
      <w:r>
        <w:t xml:space="preserve">本作品的商業價值來自四項可計算的效益：替代增聘人力（每年約 2.59 億元）、減少加班超時（每場最多約 499 萬元加班費）、減少不當給付（每場約 2,615 萬至 7,845 萬元）與撥款提早。建議以資料中心營運成本（約 0.73–0.83 億元）作為基礎版全國年費底價，並明顯低於增聘方案。收益模式採兩層版本（表 18）；救助金額與資格不因版本改變，補償仍由政府依法支付〔38〕。在產業面，本作品將福衛八號、九號影像直接用於農業行政，可為自主衛星創造實際使用與加值需求〔26〕〔75〕。</w:t>
      </w:r>
    </w:p>
    <w:p>
      <w:pPr>
        <w:pStyle w:val="BodyText"/>
        <w:keepNext/>
        <w:spacing w:before="160"/>
        <w:jc w:val="both"/>
      </w:pPr>
      <w:r>
        <w:rPr>
          <w:bCs/>
          <w:rFonts w:ascii="Times New Roman" w:hAnsi="Times New Roman" w:eastAsia="微軟正黑體"/>
          <w:b/>
          <w:sz w:val="20"/>
        </w:rPr>
        <w:t xml:space="preserve">表 18　版本與收益模式</w:t>
      </w:r>
    </w:p>
    <w:tbl>
      <w:tblPr>
        <w:tblStyle w:val="Table"/>
        <w:tblLook w:firstRow="1" w:lastRow="0" w:firstColumn="0" w:lastColumn="0" w:noHBand="0" w:noVBand="0" w:val="0020"/>
        <w:jc w:val="start"/>
        <w:tblBorders>
          <w:top w:val="single" w:sz="12" w:color="14213D"/>
          <w:bottom w:val="single" w:sz="12" w:color="14213D"/>
          <w:insideH w:val="single" w:sz="4" w:color="C9CED8"/>
        </w:tblBorders>
        <w:tblW w:w="5000" w:type="pct"/>
      </w:tblPr>
      <w:tblGrid>
        <w:gridCol w:w="2640"/>
        <w:gridCol w:w="2640"/>
        <w:gridCol w:w="2640"/>
      </w:tblGrid>
      <w:tr>
        <w:trPr>
          <w:tblHeader w:val="true"/>
        </w:trPr>
        <w:tc>
          <w:tcPr>
            <w:shd w:val="clear" w:color="auto" w:fill="E8EDF6"/>
          </w:tcPr>
          <w:p>
            <w:pPr>
              <w:pStyle w:val="Compact"/>
              <w:spacing w:after="20" w:line="276" w:lineRule="auto"/>
              <w:jc w:val="left"/>
            </w:pPr>
            <w:r>
              <w:rPr>
                <w:b/>
                <w:sz w:val="19"/>
              </w:rPr>
              <w:t xml:space="preserve">版本</w:t>
            </w:r>
          </w:p>
        </w:tc>
        <w:tc>
          <w:tcPr>
            <w:shd w:val="clear" w:color="auto" w:fill="E8EDF6"/>
          </w:tcPr>
          <w:p>
            <w:pPr>
              <w:pStyle w:val="Compact"/>
              <w:spacing w:after="20" w:line="276" w:lineRule="auto"/>
              <w:jc w:val="left"/>
            </w:pPr>
            <w:r>
              <w:rPr>
                <w:b/>
                <w:sz w:val="19"/>
              </w:rPr>
              <w:t xml:space="preserve">採購者</w:t>
            </w:r>
          </w:p>
        </w:tc>
        <w:tc>
          <w:tcPr>
            <w:shd w:val="clear" w:color="auto" w:fill="E8EDF6"/>
          </w:tcPr>
          <w:p>
            <w:pPr>
              <w:pStyle w:val="Compact"/>
              <w:spacing w:after="20" w:line="276" w:lineRule="auto"/>
              <w:jc w:val="left"/>
            </w:pPr>
            <w:r>
              <w:rPr>
                <w:b/>
                <w:sz w:val="19"/>
              </w:rPr>
              <w:t xml:space="preserve">內容</w:t>
            </w:r>
          </w:p>
        </w:tc>
      </w:tr>
      <w:tr>
        <w:tc>
          <w:tcPr/>
          <w:p>
            <w:pPr>
              <w:pStyle w:val="Compact"/>
              <w:spacing w:after="20" w:line="276" w:lineRule="auto"/>
              <w:jc w:val="left"/>
            </w:pPr>
            <w:r>
              <w:rPr>
                <w:sz w:val="19"/>
              </w:rPr>
              <w:t xml:space="preserve">基礎版</w:t>
            </w:r>
          </w:p>
        </w:tc>
        <w:tc>
          <w:tcPr/>
          <w:p>
            <w:pPr>
              <w:pStyle w:val="Compact"/>
              <w:spacing w:after="20" w:line="276" w:lineRule="auto"/>
              <w:jc w:val="left"/>
            </w:pPr>
            <w:r>
              <w:rPr>
                <w:sz w:val="19"/>
              </w:rPr>
              <w:t xml:space="preserve">農業部或縣市政府統一採購，公所與農民免費使用</w:t>
            </w:r>
          </w:p>
        </w:tc>
        <w:tc>
          <w:tcPr/>
          <w:p>
            <w:pPr>
              <w:pStyle w:val="Compact"/>
              <w:spacing w:after="20" w:line="276" w:lineRule="auto"/>
              <w:jc w:val="left"/>
            </w:pPr>
            <w:r>
              <w:rPr>
                <w:sz w:val="19"/>
              </w:rPr>
              <w:t xml:space="preserve">災前基準、災後分級、存證報告、預填申請、公所工作台、統計報表</w:t>
            </w:r>
          </w:p>
        </w:tc>
      </w:tr>
      <w:tr>
        <w:tc>
          <w:tcPr/>
          <w:p>
            <w:pPr>
              <w:pStyle w:val="Compact"/>
              <w:spacing w:after="20" w:line="276" w:lineRule="auto"/>
              <w:jc w:val="left"/>
            </w:pPr>
            <w:r>
              <w:rPr>
                <w:sz w:val="19"/>
              </w:rPr>
              <w:t xml:space="preserve">進階版</w:t>
            </w:r>
          </w:p>
        </w:tc>
        <w:tc>
          <w:tcPr/>
          <w:p>
            <w:pPr>
              <w:pStyle w:val="Compact"/>
              <w:spacing w:after="20" w:line="276" w:lineRule="auto"/>
              <w:jc w:val="left"/>
            </w:pPr>
            <w:r>
              <w:rPr>
                <w:sz w:val="19"/>
              </w:rPr>
              <w:t xml:space="preserve">縣市政府、農會、產險公司</w:t>
            </w:r>
          </w:p>
        </w:tc>
        <w:tc>
          <w:tcPr/>
          <w:p>
            <w:pPr>
              <w:pStyle w:val="Compact"/>
              <w:spacing w:after="20" w:line="276" w:lineRule="auto"/>
              <w:jc w:val="left"/>
            </w:pPr>
            <w:r>
              <w:rPr>
                <w:sz w:val="19"/>
              </w:rPr>
              <w:t xml:space="preserve">作物異常提醒、魚塭在養證明、定位樁資料、田區資料授權、農民個人存證報告</w:t>
            </w:r>
          </w:p>
        </w:tc>
      </w:tr>
    </w:tbl>
    <w:bookmarkEnd w:id="115"/>
    <w:bookmarkStart w:id="116" w:name="未來應用推廣與發展潛力"/>
    <w:p>
      <w:pPr>
        <w:pStyle w:val="Heading3"/>
      </w:pPr>
      <w:r>
        <w:t xml:space="preserve">4. 未來應用、推廣與發展潛力</w:t>
      </w:r>
    </w:p>
    <w:p>
      <w:pPr>
        <w:pStyle w:val="FirstParagraph"/>
        <w:jc w:val="both"/>
      </w:pPr>
      <w:r>
        <w:rPr>
          <w:bCs/>
          <w:b/>
        </w:rPr>
        <w:t xml:space="preserve">後續可擴及漁業、保險與海外；若存證報告獲公告認可，可納入救助制度。</w:t>
      </w:r>
    </w:p>
    <w:p>
      <w:pPr>
        <w:pStyle w:val="BodyText"/>
        <w:jc w:val="both"/>
      </w:pPr>
      <w:r>
        <w:t xml:space="preserve">本作品可沿四個方向推廣：</w:t>
      </w:r>
      <w:r>
        <w:rPr>
          <w:bCs/>
          <w:b/>
        </w:rPr>
        <w:t xml:space="preserve">公所端</w:t>
      </w:r>
      <w:r>
        <w:t xml:space="preserve">由單一鄉鎮擴展至全國 368 個鄉鎮市區〔42〕；</w:t>
      </w:r>
      <w:r>
        <w:rPr>
          <w:bCs/>
          <w:b/>
        </w:rPr>
        <w:t xml:space="preserve">漁業端</w:t>
      </w:r>
      <w:r>
        <w:t xml:space="preserve">以魚塭在養證明延伸至全國約 4.3 萬公頃養殖魚塭〔76〕；</w:t>
      </w:r>
      <w:r>
        <w:rPr>
          <w:bCs/>
          <w:b/>
        </w:rPr>
        <w:t xml:space="preserve">保險端</w:t>
      </w:r>
      <w:r>
        <w:t xml:space="preserve">以田區級資料協助開發新保單，補足目前僅 29 品項的氣象參數型保險〔11〕；</w:t>
      </w:r>
      <w:r>
        <w:rPr>
          <w:bCs/>
          <w:b/>
        </w:rPr>
        <w:t xml:space="preserve">海外端</w:t>
      </w:r>
      <w:r>
        <w:t xml:space="preserve">結合福衛影像，延伸國家太空中心對中美洲友邦的作物監測經驗〔36〕。在制度面，若存證報告獲公告認可並進一步發展為「衛星災損參數」，本作品將由輔助工具轉為救助制度的一環，效益隨每次災害持續累積。</w:t>
      </w:r>
    </w:p>
    <w:p>
      <w:r>
        <w:br w:type="page"/>
      </w:r>
    </w:p>
    <w:bookmarkEnd w:id="116"/>
    <w:bookmarkEnd w:id="117"/>
    <w:bookmarkStart w:id="254" w:name="參考資料"/>
    <w:p>
      <w:pPr>
        <w:pStyle w:val="Heading2"/>
      </w:pPr>
      <w:r>
        <w:t xml:space="preserve">參考資料</w:t>
      </w:r>
    </w:p>
    <w:p>
      <w:pPr>
        <w:numPr>
          <w:ilvl w:val="0"/>
          <w:numId w:val="1001"/>
        </w:numPr>
        <w:pStyle w:val="Compact"/>
      </w:pPr>
      <w:hyperlink r:id="rId118">
        <w:r>
          <w:rPr>
            <w:rStyle w:val="Hyperlink"/>
          </w:rPr>
          <w:t xml:space="preserve">2026 衛星數位應用創新大賽申請須知</w:t>
        </w:r>
      </w:hyperlink>
    </w:p>
    <w:p>
      <w:pPr>
        <w:numPr>
          <w:ilvl w:val="0"/>
          <w:numId w:val="1001"/>
        </w:numPr>
        <w:pStyle w:val="Compact"/>
      </w:pPr>
      <w:hyperlink r:id="rId119">
        <w:r>
          <w:rPr>
            <w:rStyle w:val="Hyperlink"/>
          </w:rPr>
          <w:t xml:space="preserve">農業部：損失率達 20% 給予現金救助</w:t>
        </w:r>
      </w:hyperlink>
    </w:p>
    <w:p>
      <w:pPr>
        <w:numPr>
          <w:ilvl w:val="0"/>
          <w:numId w:val="1001"/>
        </w:numPr>
        <w:pStyle w:val="Compact"/>
      </w:pPr>
      <w:hyperlink r:id="rId120">
        <w:r>
          <w:rPr>
            <w:rStyle w:val="Hyperlink"/>
          </w:rPr>
          <w:t xml:space="preserve">2025 年 5 月農業部公告：種植客觀證明免勘與抽樣勘查 20%</w:t>
        </w:r>
      </w:hyperlink>
    </w:p>
    <w:p>
      <w:pPr>
        <w:numPr>
          <w:ilvl w:val="0"/>
          <w:numId w:val="1001"/>
        </w:numPr>
        <w:pStyle w:val="Compact"/>
      </w:pPr>
      <w:hyperlink r:id="rId121">
        <w:r>
          <w:rPr>
            <w:rStyle w:val="Hyperlink"/>
          </w:rPr>
          <w:t xml:space="preserve">iThome：雲林農損勘查、審計室衛星植生指標</w:t>
        </w:r>
      </w:hyperlink>
    </w:p>
    <w:p>
      <w:pPr>
        <w:numPr>
          <w:ilvl w:val="0"/>
          <w:numId w:val="1001"/>
        </w:numPr>
        <w:pStyle w:val="Compact"/>
      </w:pPr>
      <w:hyperlink r:id="rId122">
        <w:r>
          <w:rPr>
            <w:rStyle w:val="Hyperlink"/>
          </w:rPr>
          <w:t xml:space="preserve">公視：丹娜絲農業與設施損失 30.7 億元</w:t>
        </w:r>
      </w:hyperlink>
    </w:p>
    <w:p>
      <w:pPr>
        <w:numPr>
          <w:ilvl w:val="0"/>
          <w:numId w:val="1001"/>
        </w:numPr>
        <w:pStyle w:val="Compact"/>
      </w:pPr>
      <w:hyperlink r:id="rId123">
        <w:r>
          <w:rPr>
            <w:rStyle w:val="Hyperlink"/>
          </w:rPr>
          <w:t xml:space="preserve">新頭殼：嘉義縣丹娜絲災損統計</w:t>
        </w:r>
      </w:hyperlink>
    </w:p>
    <w:p>
      <w:pPr>
        <w:numPr>
          <w:ilvl w:val="0"/>
          <w:numId w:val="1001"/>
        </w:numPr>
        <w:pStyle w:val="Compact"/>
      </w:pPr>
      <w:hyperlink r:id="rId124">
        <w:r>
          <w:rPr>
            <w:rStyle w:val="Hyperlink"/>
          </w:rPr>
          <w:t xml:space="preserve">自由時報：縣府送件後三天內撥款</w:t>
        </w:r>
      </w:hyperlink>
    </w:p>
    <w:p>
      <w:pPr>
        <w:numPr>
          <w:ilvl w:val="0"/>
          <w:numId w:val="1001"/>
        </w:numPr>
        <w:pStyle w:val="Compact"/>
      </w:pPr>
      <w:hyperlink r:id="rId125">
        <w:r>
          <w:rPr>
            <w:rStyle w:val="Hyperlink"/>
          </w:rPr>
          <w:t xml:space="preserve">公視：古坑竹林勘災不易被判不合格</w:t>
        </w:r>
      </w:hyperlink>
    </w:p>
    <w:p>
      <w:pPr>
        <w:numPr>
          <w:ilvl w:val="0"/>
          <w:numId w:val="1001"/>
        </w:numPr>
        <w:pStyle w:val="Compact"/>
      </w:pPr>
      <w:hyperlink r:id="rId126">
        <w:r>
          <w:rPr>
            <w:rStyle w:val="Hyperlink"/>
          </w:rPr>
          <w:t xml:space="preserve">經濟日報：楊柳颱風臺東 4 品項免現勘</w:t>
        </w:r>
      </w:hyperlink>
    </w:p>
    <w:p>
      <w:pPr>
        <w:numPr>
          <w:ilvl w:val="0"/>
          <w:numId w:val="1001"/>
        </w:numPr>
        <w:pStyle w:val="Compact"/>
      </w:pPr>
      <w:hyperlink r:id="rId127">
        <w:r>
          <w:rPr>
            <w:rStyle w:val="Hyperlink"/>
          </w:rPr>
          <w:t xml:space="preserve">自由時報：2026 年 6 月屏東豪雨農損</w:t>
        </w:r>
      </w:hyperlink>
    </w:p>
    <w:p>
      <w:pPr>
        <w:numPr>
          <w:ilvl w:val="0"/>
          <w:numId w:val="1001"/>
        </w:numPr>
        <w:pStyle w:val="Compact"/>
      </w:pPr>
      <w:hyperlink r:id="rId128">
        <w:r>
          <w:rPr>
            <w:rStyle w:val="Hyperlink"/>
          </w:rPr>
          <w:t xml:space="preserve">中央社：巴威颱風氣象參數型保單理賠</w:t>
        </w:r>
      </w:hyperlink>
    </w:p>
    <w:p>
      <w:pPr>
        <w:numPr>
          <w:ilvl w:val="0"/>
          <w:numId w:val="1001"/>
        </w:numPr>
        <w:pStyle w:val="Compact"/>
      </w:pPr>
      <w:hyperlink r:id="rId129">
        <w:r>
          <w:rPr>
            <w:rStyle w:val="Hyperlink"/>
          </w:rPr>
          <w:t xml:space="preserve">農業部：近 10 年農業天然災害損失統計</w:t>
        </w:r>
      </w:hyperlink>
    </w:p>
    <w:p>
      <w:pPr>
        <w:numPr>
          <w:ilvl w:val="0"/>
          <w:numId w:val="1001"/>
        </w:numPr>
        <w:pStyle w:val="Compact"/>
      </w:pPr>
      <w:hyperlink r:id="rId130">
        <w:r>
          <w:rPr>
            <w:rStyle w:val="Hyperlink"/>
          </w:rPr>
          <w:t xml:space="preserve">公視：農業年損約 126 億，現金救助約占 25%</w:t>
        </w:r>
      </w:hyperlink>
    </w:p>
    <w:p>
      <w:pPr>
        <w:numPr>
          <w:ilvl w:val="0"/>
          <w:numId w:val="1001"/>
        </w:numPr>
        <w:pStyle w:val="Compact"/>
      </w:pPr>
      <w:hyperlink r:id="rId131">
        <w:r>
          <w:rPr>
            <w:rStyle w:val="Hyperlink"/>
          </w:rPr>
          <w:t xml:space="preserve">中央社：凱米颱風農業損失</w:t>
        </w:r>
      </w:hyperlink>
    </w:p>
    <w:p>
      <w:pPr>
        <w:numPr>
          <w:ilvl w:val="0"/>
          <w:numId w:val="1001"/>
        </w:numPr>
        <w:pStyle w:val="Compact"/>
      </w:pPr>
      <w:hyperlink r:id="rId132">
        <w:r>
          <w:rPr>
            <w:rStyle w:val="Hyperlink"/>
          </w:rPr>
          <w:t xml:space="preserve">新頭殼：山陀兒颱風農業損失</w:t>
        </w:r>
      </w:hyperlink>
    </w:p>
    <w:p>
      <w:pPr>
        <w:numPr>
          <w:ilvl w:val="0"/>
          <w:numId w:val="1001"/>
        </w:numPr>
        <w:pStyle w:val="Compact"/>
      </w:pPr>
      <w:hyperlink r:id="rId133">
        <w:r>
          <w:rPr>
            <w:rStyle w:val="Hyperlink"/>
          </w:rPr>
          <w:t xml:space="preserve">工商時報：丹娜絲南投竹山救助額度</w:t>
        </w:r>
      </w:hyperlink>
    </w:p>
    <w:p>
      <w:pPr>
        <w:numPr>
          <w:ilvl w:val="0"/>
          <w:numId w:val="1001"/>
        </w:numPr>
        <w:pStyle w:val="Compact"/>
      </w:pPr>
      <w:hyperlink r:id="rId134">
        <w:r>
          <w:rPr>
            <w:rStyle w:val="Hyperlink"/>
          </w:rPr>
          <w:t xml:space="preserve">農業部：2025 年丹娜絲等連續災害損失 43.5 億元</w:t>
        </w:r>
      </w:hyperlink>
    </w:p>
    <w:p>
      <w:pPr>
        <w:numPr>
          <w:ilvl w:val="0"/>
          <w:numId w:val="1001"/>
        </w:numPr>
        <w:pStyle w:val="Compact"/>
      </w:pPr>
      <w:hyperlink r:id="rId135">
        <w:r>
          <w:rPr>
            <w:rStyle w:val="Hyperlink"/>
          </w:rPr>
          <w:t xml:space="preserve">工商時報：2026 年農業救助額度調整</w:t>
        </w:r>
      </w:hyperlink>
    </w:p>
    <w:p>
      <w:pPr>
        <w:numPr>
          <w:ilvl w:val="0"/>
          <w:numId w:val="1001"/>
        </w:numPr>
        <w:pStyle w:val="Compact"/>
      </w:pPr>
      <w:hyperlink r:id="rId136">
        <w:r>
          <w:rPr>
            <w:rStyle w:val="Hyperlink"/>
          </w:rPr>
          <w:t xml:space="preserve">農業部：災害性與災損天氣參數</w:t>
        </w:r>
      </w:hyperlink>
    </w:p>
    <w:p>
      <w:pPr>
        <w:numPr>
          <w:ilvl w:val="0"/>
          <w:numId w:val="1001"/>
        </w:numPr>
        <w:pStyle w:val="Compact"/>
      </w:pPr>
      <w:hyperlink r:id="rId137">
        <w:r>
          <w:rPr>
            <w:rStyle w:val="Hyperlink"/>
          </w:rPr>
          <w:t xml:space="preserve">農業部：農災 App 多點勘災與本機調查專案</w:t>
        </w:r>
      </w:hyperlink>
    </w:p>
    <w:p>
      <w:pPr>
        <w:numPr>
          <w:ilvl w:val="0"/>
          <w:numId w:val="1001"/>
        </w:numPr>
        <w:pStyle w:val="Compact"/>
      </w:pPr>
      <w:hyperlink r:id="rId138">
        <w:r>
          <w:rPr>
            <w:rStyle w:val="Hyperlink"/>
          </w:rPr>
          <w:t xml:space="preserve">農業部電子報：科技調查與勘災服務</w:t>
        </w:r>
      </w:hyperlink>
    </w:p>
    <w:p>
      <w:pPr>
        <w:numPr>
          <w:ilvl w:val="0"/>
          <w:numId w:val="1001"/>
        </w:numPr>
        <w:pStyle w:val="Compact"/>
      </w:pPr>
      <w:hyperlink r:id="rId139">
        <w:r>
          <w:rPr>
            <w:rStyle w:val="Hyperlink"/>
          </w:rPr>
          <w:t xml:space="preserve">聯合報：農業保險投保情形</w:t>
        </w:r>
      </w:hyperlink>
    </w:p>
    <w:p>
      <w:pPr>
        <w:numPr>
          <w:ilvl w:val="0"/>
          <w:numId w:val="1001"/>
        </w:numPr>
        <w:pStyle w:val="Compact"/>
      </w:pPr>
      <w:hyperlink r:id="rId140">
        <w:r>
          <w:rPr>
            <w:rStyle w:val="Hyperlink"/>
          </w:rPr>
          <w:t xml:space="preserve">中時：彰化葡萄延遲性災損</w:t>
        </w:r>
      </w:hyperlink>
    </w:p>
    <w:p>
      <w:pPr>
        <w:numPr>
          <w:ilvl w:val="0"/>
          <w:numId w:val="1001"/>
        </w:numPr>
        <w:pStyle w:val="Compact"/>
      </w:pPr>
      <w:hyperlink r:id="rId141">
        <w:r>
          <w:rPr>
            <w:rStyle w:val="Hyperlink"/>
          </w:rPr>
          <w:t xml:space="preserve">公視：福衛八號規格與發射時程</w:t>
        </w:r>
      </w:hyperlink>
    </w:p>
    <w:p>
      <w:pPr>
        <w:numPr>
          <w:ilvl w:val="0"/>
          <w:numId w:val="1001"/>
        </w:numPr>
        <w:pStyle w:val="Compact"/>
      </w:pPr>
      <w:hyperlink r:id="rId142">
        <w:r>
          <w:rPr>
            <w:rStyle w:val="Hyperlink"/>
          </w:rPr>
          <w:t xml:space="preserve">行政院：福衛八號運作現況與應用</w:t>
        </w:r>
      </w:hyperlink>
    </w:p>
    <w:p>
      <w:pPr>
        <w:numPr>
          <w:ilvl w:val="0"/>
          <w:numId w:val="1001"/>
        </w:numPr>
        <w:pStyle w:val="Compact"/>
      </w:pPr>
      <w:hyperlink r:id="rId143">
        <w:r>
          <w:rPr>
            <w:rStyle w:val="Hyperlink"/>
          </w:rPr>
          <w:t xml:space="preserve">聯合報：福衛九號雷達衛星發射規劃</w:t>
        </w:r>
      </w:hyperlink>
    </w:p>
    <w:p>
      <w:pPr>
        <w:numPr>
          <w:ilvl w:val="0"/>
          <w:numId w:val="1001"/>
        </w:numPr>
        <w:pStyle w:val="Compact"/>
      </w:pPr>
      <w:hyperlink r:id="rId144">
        <w:r>
          <w:rPr>
            <w:rStyle w:val="Hyperlink"/>
          </w:rPr>
          <w:t xml:space="preserve">愛爾蘭農業部：AMS</w:t>
        </w:r>
      </w:hyperlink>
    </w:p>
    <w:p>
      <w:pPr>
        <w:numPr>
          <w:ilvl w:val="0"/>
          <w:numId w:val="1001"/>
        </w:numPr>
        <w:pStyle w:val="Compact"/>
      </w:pPr>
      <w:hyperlink r:id="rId145">
        <w:r>
          <w:rPr>
            <w:rStyle w:val="Hyperlink"/>
          </w:rPr>
          <w:t xml:space="preserve">Agriland：AMS 通知</w:t>
        </w:r>
      </w:hyperlink>
    </w:p>
    <w:p>
      <w:pPr>
        <w:numPr>
          <w:ilvl w:val="0"/>
          <w:numId w:val="1001"/>
        </w:numPr>
        <w:pStyle w:val="Compact"/>
      </w:pPr>
      <w:hyperlink r:id="rId146">
        <w:r>
          <w:rPr>
            <w:rStyle w:val="Hyperlink"/>
          </w:rPr>
          <w:t xml:space="preserve">TU Dresden：DGL Monitor</w:t>
        </w:r>
      </w:hyperlink>
    </w:p>
    <w:p>
      <w:pPr>
        <w:numPr>
          <w:ilvl w:val="0"/>
          <w:numId w:val="1001"/>
        </w:numPr>
        <w:pStyle w:val="Compact"/>
      </w:pPr>
      <w:hyperlink r:id="rId147">
        <w:r>
          <w:rPr>
            <w:rStyle w:val="Hyperlink"/>
          </w:rPr>
          <w:t xml:space="preserve">Copernicus EMS Rapid Mapping</w:t>
        </w:r>
      </w:hyperlink>
    </w:p>
    <w:p>
      <w:pPr>
        <w:numPr>
          <w:ilvl w:val="0"/>
          <w:numId w:val="1001"/>
        </w:numPr>
        <w:pStyle w:val="Compact"/>
      </w:pPr>
      <w:hyperlink r:id="rId148">
        <w:r>
          <w:rPr>
            <w:rStyle w:val="Hyperlink"/>
          </w:rPr>
          <w:t xml:space="preserve">印度 PIB：PMFBY 與 YES-TECH</w:t>
        </w:r>
      </w:hyperlink>
    </w:p>
    <w:p>
      <w:pPr>
        <w:numPr>
          <w:ilvl w:val="0"/>
          <w:numId w:val="1001"/>
        </w:numPr>
        <w:pStyle w:val="Compact"/>
      </w:pPr>
      <w:hyperlink r:id="rId149">
        <w:r>
          <w:rPr>
            <w:rStyle w:val="Hyperlink"/>
          </w:rPr>
          <w:t xml:space="preserve">Floodbase</w:t>
        </w:r>
      </w:hyperlink>
    </w:p>
    <w:p>
      <w:pPr>
        <w:numPr>
          <w:ilvl w:val="0"/>
          <w:numId w:val="1001"/>
        </w:numPr>
        <w:pStyle w:val="Compact"/>
      </w:pPr>
      <w:hyperlink r:id="rId150">
        <w:r>
          <w:rPr>
            <w:rStyle w:val="Hyperlink"/>
          </w:rPr>
          <w:t xml:space="preserve">台灣英文新聞：水保署 BigGIS 崩塌判釋</w:t>
        </w:r>
      </w:hyperlink>
    </w:p>
    <w:p>
      <w:pPr>
        <w:numPr>
          <w:ilvl w:val="0"/>
          <w:numId w:val="1001"/>
        </w:numPr>
        <w:pStyle w:val="Compact"/>
      </w:pPr>
      <w:hyperlink r:id="rId151">
        <w:r>
          <w:rPr>
            <w:rStyle w:val="Hyperlink"/>
          </w:rPr>
          <w:t xml:space="preserve">營建署：國土利用監測變異點通報</w:t>
        </w:r>
      </w:hyperlink>
    </w:p>
    <w:p>
      <w:pPr>
        <w:numPr>
          <w:ilvl w:val="0"/>
          <w:numId w:val="1001"/>
        </w:numPr>
        <w:pStyle w:val="Compact"/>
      </w:pPr>
      <w:hyperlink r:id="rId152">
        <w:r>
          <w:rPr>
            <w:rStyle w:val="Hyperlink"/>
          </w:rPr>
          <w:t xml:space="preserve">農業部電子報：農試所 UAV 災損判釋</w:t>
        </w:r>
      </w:hyperlink>
    </w:p>
    <w:p>
      <w:pPr>
        <w:numPr>
          <w:ilvl w:val="0"/>
          <w:numId w:val="1001"/>
        </w:numPr>
        <w:pStyle w:val="Compact"/>
      </w:pPr>
      <w:hyperlink r:id="rId153">
        <w:r>
          <w:rPr>
            <w:rStyle w:val="Hyperlink"/>
          </w:rPr>
          <w:t xml:space="preserve">Taiwan News：福衛五號中美洲香蕉病害監測</w:t>
        </w:r>
      </w:hyperlink>
    </w:p>
    <w:p>
      <w:pPr>
        <w:numPr>
          <w:ilvl w:val="0"/>
          <w:numId w:val="1001"/>
        </w:numPr>
        <w:pStyle w:val="Compact"/>
      </w:pPr>
      <w:hyperlink r:id="rId154">
        <w:r>
          <w:rPr>
            <w:rStyle w:val="Hyperlink"/>
          </w:rPr>
          <w:t xml:space="preserve">陳清福（2020）：衛星定位技術應用於潛在大規模崩塌之地表位移研究</w:t>
        </w:r>
      </w:hyperlink>
    </w:p>
    <w:p>
      <w:pPr>
        <w:numPr>
          <w:ilvl w:val="0"/>
          <w:numId w:val="1001"/>
        </w:numPr>
        <w:pStyle w:val="Compact"/>
      </w:pPr>
      <w:hyperlink r:id="rId155">
        <w:r>
          <w:rPr>
            <w:rStyle w:val="Hyperlink"/>
          </w:rPr>
          <w:t xml:space="preserve">農業保險法</w:t>
        </w:r>
      </w:hyperlink>
    </w:p>
    <w:p>
      <w:pPr>
        <w:numPr>
          <w:ilvl w:val="0"/>
          <w:numId w:val="1001"/>
        </w:numPr>
        <w:pStyle w:val="Compact"/>
      </w:pPr>
      <w:hyperlink r:id="rId156">
        <w:r>
          <w:rPr>
            <w:rStyle w:val="Hyperlink"/>
          </w:rPr>
          <w:t xml:space="preserve">學位論文：衛星影像淹水辨識</w:t>
        </w:r>
      </w:hyperlink>
    </w:p>
    <w:p>
      <w:pPr>
        <w:numPr>
          <w:ilvl w:val="0"/>
          <w:numId w:val="1001"/>
        </w:numPr>
        <w:pStyle w:val="Compact"/>
      </w:pPr>
      <w:hyperlink r:id="rId157">
        <w:r>
          <w:rPr>
            <w:rStyle w:val="Hyperlink"/>
          </w:rPr>
          <w:t xml:space="preserve">Planet：歐盟農業補貼監測</w:t>
        </w:r>
      </w:hyperlink>
    </w:p>
    <w:p>
      <w:pPr>
        <w:numPr>
          <w:ilvl w:val="0"/>
          <w:numId w:val="1001"/>
        </w:numPr>
        <w:pStyle w:val="Compact"/>
      </w:pPr>
      <w:hyperlink r:id="rId158">
        <w:r>
          <w:rPr>
            <w:rStyle w:val="Hyperlink"/>
          </w:rPr>
          <w:t xml:space="preserve">臺中市大肚區公所 115 年度單位預算書</w:t>
        </w:r>
      </w:hyperlink>
    </w:p>
    <w:p>
      <w:pPr>
        <w:numPr>
          <w:ilvl w:val="0"/>
          <w:numId w:val="1001"/>
        </w:numPr>
        <w:pStyle w:val="Compact"/>
      </w:pPr>
      <w:hyperlink r:id="rId159">
        <w:r>
          <w:rPr>
            <w:rStyle w:val="Hyperlink"/>
          </w:rPr>
          <w:t xml:space="preserve">監察院調查報告：農業天然災害現金救助撥款逾期等問題（依審計部 110 年度決算審核報告）</w:t>
        </w:r>
      </w:hyperlink>
    </w:p>
    <w:p>
      <w:pPr>
        <w:numPr>
          <w:ilvl w:val="0"/>
          <w:numId w:val="1001"/>
        </w:numPr>
        <w:pStyle w:val="Compact"/>
      </w:pPr>
      <w:hyperlink r:id="rId160">
        <w:r>
          <w:rPr>
            <w:rStyle w:val="Hyperlink"/>
          </w:rPr>
          <w:t xml:space="preserve">監察院調查報告：農業部農特基金及農再基金管理營運不當案（2025/9/2）</w:t>
        </w:r>
      </w:hyperlink>
    </w:p>
    <w:p>
      <w:pPr>
        <w:numPr>
          <w:ilvl w:val="0"/>
          <w:numId w:val="1001"/>
        </w:numPr>
        <w:pStyle w:val="Compact"/>
      </w:pPr>
      <w:hyperlink r:id="rId161">
        <w:r>
          <w:rPr>
            <w:rStyle w:val="Hyperlink"/>
          </w:rPr>
          <w:t xml:space="preserve">行政院修正國內出差旅費報支要點對照表（2025/1/1 生效）</w:t>
        </w:r>
      </w:hyperlink>
    </w:p>
    <w:p>
      <w:pPr>
        <w:numPr>
          <w:ilvl w:val="0"/>
          <w:numId w:val="1001"/>
        </w:numPr>
        <w:pStyle w:val="Compact"/>
      </w:pPr>
      <w:hyperlink r:id="rId162">
        <w:r>
          <w:rPr>
            <w:rStyle w:val="Hyperlink"/>
          </w:rPr>
          <w:t xml:space="preserve">臺中市豐原區公所：各機關加班費支給辦法與實務案例</w:t>
        </w:r>
      </w:hyperlink>
    </w:p>
    <w:p>
      <w:pPr>
        <w:numPr>
          <w:ilvl w:val="0"/>
          <w:numId w:val="1001"/>
        </w:numPr>
        <w:pStyle w:val="Compact"/>
      </w:pPr>
      <w:hyperlink r:id="rId163">
        <w:r>
          <w:rPr>
            <w:rStyle w:val="Hyperlink"/>
          </w:rPr>
          <w:t xml:space="preserve">經濟日報：丹娜絲、0708 豪雨救助經費 71.23 億元與撥付進度</w:t>
        </w:r>
      </w:hyperlink>
    </w:p>
    <w:p>
      <w:pPr>
        <w:numPr>
          <w:ilvl w:val="0"/>
          <w:numId w:val="1001"/>
        </w:numPr>
        <w:pStyle w:val="Compact"/>
      </w:pPr>
      <w:hyperlink r:id="rId164">
        <w:r>
          <w:rPr>
            <w:rStyle w:val="Hyperlink"/>
          </w:rPr>
          <w:t xml:space="preserve">中央社：2025 年農業災害救助預算 39 億元，寒害已用 22 億元</w:t>
        </w:r>
      </w:hyperlink>
    </w:p>
    <w:p>
      <w:pPr>
        <w:numPr>
          <w:ilvl w:val="0"/>
          <w:numId w:val="1001"/>
        </w:numPr>
        <w:pStyle w:val="Compact"/>
      </w:pPr>
      <w:hyperlink r:id="rId165">
        <w:r>
          <w:rPr>
            <w:rStyle w:val="Hyperlink"/>
          </w:rPr>
          <w:t xml:space="preserve">工商時報：溪州鄉農損勘查爭議</w:t>
        </w:r>
      </w:hyperlink>
    </w:p>
    <w:p>
      <w:pPr>
        <w:numPr>
          <w:ilvl w:val="0"/>
          <w:numId w:val="1001"/>
        </w:numPr>
        <w:pStyle w:val="Compact"/>
      </w:pPr>
      <w:hyperlink r:id="rId166">
        <w:r>
          <w:rPr>
            <w:rStyle w:val="Hyperlink"/>
          </w:rPr>
          <w:t xml:space="preserve">農業部統計處：丹娜絲颱風及 0708 豪雨農業災情報告</w:t>
        </w:r>
      </w:hyperlink>
    </w:p>
    <w:p>
      <w:pPr>
        <w:numPr>
          <w:ilvl w:val="0"/>
          <w:numId w:val="1001"/>
        </w:numPr>
        <w:pStyle w:val="Compact"/>
      </w:pPr>
      <w:r>
        <w:t xml:space="preserve">農業部統計處災情報告：</w:t>
      </w:r>
      <w:hyperlink r:id="rId167">
        <w:r>
          <w:rPr>
            <w:rStyle w:val="Hyperlink"/>
          </w:rPr>
          <w:t xml:space="preserve">樺加沙</w:t>
        </w:r>
      </w:hyperlink>
      <w:r>
        <w:t xml:space="preserve">、</w:t>
      </w:r>
      <w:hyperlink r:id="rId168">
        <w:r>
          <w:rPr>
            <w:rStyle w:val="Hyperlink"/>
          </w:rPr>
          <w:t xml:space="preserve">楊柳</w:t>
        </w:r>
      </w:hyperlink>
      <w:r>
        <w:t xml:space="preserve">、</w:t>
      </w:r>
      <w:hyperlink r:id="rId169">
        <w:r>
          <w:rPr>
            <w:rStyle w:val="Hyperlink"/>
          </w:rPr>
          <w:t xml:space="preserve">0728 豪雨</w:t>
        </w:r>
      </w:hyperlink>
      <w:r>
        <w:t xml:space="preserve">；</w:t>
      </w:r>
      <w:hyperlink r:id="rId170">
        <w:r>
          <w:rPr>
            <w:rStyle w:val="Hyperlink"/>
          </w:rPr>
          <w:t xml:space="preserve">鳳凰（工商時報）</w:t>
        </w:r>
      </w:hyperlink>
    </w:p>
    <w:p>
      <w:pPr>
        <w:numPr>
          <w:ilvl w:val="0"/>
          <w:numId w:val="1001"/>
        </w:numPr>
        <w:pStyle w:val="Compact"/>
      </w:pPr>
      <w:hyperlink r:id="rId171">
        <w:r>
          <w:rPr>
            <w:rStyle w:val="Hyperlink"/>
          </w:rPr>
          <w:t xml:space="preserve">農業部：2026 年 3 月修正農業天然災害救助辦法</w:t>
        </w:r>
      </w:hyperlink>
    </w:p>
    <w:p>
      <w:pPr>
        <w:numPr>
          <w:ilvl w:val="0"/>
          <w:numId w:val="1001"/>
        </w:numPr>
        <w:pStyle w:val="Compact"/>
      </w:pPr>
      <w:hyperlink r:id="rId172">
        <w:r>
          <w:rPr>
            <w:rStyle w:val="Hyperlink"/>
          </w:rPr>
          <w:t xml:space="preserve">自由時報：丹娜絲延續性災損，臺南文旦救助</w:t>
        </w:r>
      </w:hyperlink>
    </w:p>
    <w:p>
      <w:pPr>
        <w:numPr>
          <w:ilvl w:val="0"/>
          <w:numId w:val="1001"/>
        </w:numPr>
        <w:pStyle w:val="Compact"/>
      </w:pPr>
      <w:hyperlink r:id="rId173">
        <w:r>
          <w:rPr>
            <w:rStyle w:val="Hyperlink"/>
          </w:rPr>
          <w:t xml:space="preserve">Mullissa et al. (2021). Sentinel-1 SAR backscatter analysis ready data preparation in Google Earth Engine. Remote Sensing 13(10)</w:t>
        </w:r>
      </w:hyperlink>
    </w:p>
    <w:p>
      <w:pPr>
        <w:numPr>
          <w:ilvl w:val="0"/>
          <w:numId w:val="1001"/>
        </w:numPr>
        <w:pStyle w:val="Compact"/>
      </w:pPr>
      <w:hyperlink r:id="rId174">
        <w:r>
          <w:rPr>
            <w:rStyle w:val="Hyperlink"/>
          </w:rPr>
          <w:t xml:space="preserve">Rußwurm et al. (2020). BreizhCrops: A time series dataset for crop type mapping</w:t>
        </w:r>
      </w:hyperlink>
    </w:p>
    <w:p>
      <w:pPr>
        <w:numPr>
          <w:ilvl w:val="0"/>
          <w:numId w:val="1001"/>
        </w:numPr>
        <w:pStyle w:val="Compact"/>
      </w:pPr>
      <w:hyperlink r:id="rId175">
        <w:r>
          <w:rPr>
            <w:rStyle w:val="Hyperlink"/>
          </w:rPr>
          <w:t xml:space="preserve">Mapping of paddy field by Sentinel-1 SAR images and cadastre data. International Journal of Remote Sensing 46(12), 2025</w:t>
        </w:r>
      </w:hyperlink>
    </w:p>
    <w:p>
      <w:pPr>
        <w:numPr>
          <w:ilvl w:val="0"/>
          <w:numId w:val="1001"/>
        </w:numPr>
        <w:pStyle w:val="Compact"/>
      </w:pPr>
      <w:hyperlink r:id="rId176">
        <w:r>
          <w:rPr>
            <w:rStyle w:val="Hyperlink"/>
          </w:rPr>
          <w:t xml:space="preserve">Bonafilia et al. (2020). Sen1Floods11. CVPR Workshops</w:t>
        </w:r>
      </w:hyperlink>
    </w:p>
    <w:p>
      <w:pPr>
        <w:numPr>
          <w:ilvl w:val="0"/>
          <w:numId w:val="1001"/>
        </w:numPr>
        <w:pStyle w:val="Compact"/>
      </w:pPr>
      <w:hyperlink r:id="rId177">
        <w:r>
          <w:rPr>
            <w:rStyle w:val="Hyperlink"/>
          </w:rPr>
          <w:t xml:space="preserve">Copernicus EMS (2022). GFM ensemble flood product</w:t>
        </w:r>
      </w:hyperlink>
    </w:p>
    <w:p>
      <w:pPr>
        <w:numPr>
          <w:ilvl w:val="0"/>
          <w:numId w:val="1001"/>
        </w:numPr>
        <w:pStyle w:val="Compact"/>
      </w:pPr>
      <w:hyperlink r:id="rId178">
        <w:r>
          <w:rPr>
            <w:rStyle w:val="Hyperlink"/>
          </w:rPr>
          <w:t xml:space="preserve">Jakubik et al. (2023). Foundation models for generalist geospatial artificial intelligence</w:t>
        </w:r>
      </w:hyperlink>
    </w:p>
    <w:p>
      <w:pPr>
        <w:numPr>
          <w:ilvl w:val="0"/>
          <w:numId w:val="1001"/>
        </w:numPr>
        <w:pStyle w:val="Compact"/>
      </w:pPr>
      <w:hyperlink r:id="rId179">
        <w:r>
          <w:rPr>
            <w:rStyle w:val="Hyperlink"/>
          </w:rPr>
          <w:t xml:space="preserve">Ajadi et al. (2020). Landscape-scale crop lodging assessment using SAR images. Remote Sensing 12</w:t>
        </w:r>
      </w:hyperlink>
    </w:p>
    <w:p>
      <w:pPr>
        <w:numPr>
          <w:ilvl w:val="0"/>
          <w:numId w:val="1001"/>
        </w:numPr>
        <w:pStyle w:val="Compact"/>
      </w:pPr>
      <w:hyperlink r:id="rId180">
        <w:r>
          <w:rPr>
            <w:rStyle w:val="Hyperlink"/>
          </w:rPr>
          <w:t xml:space="preserve">Chauhan et al. (2020). Understanding wheat lodging using multi-temporal Sentinel-1 and Sentinel-2 data. RSE 243</w:t>
        </w:r>
      </w:hyperlink>
    </w:p>
    <w:p>
      <w:pPr>
        <w:numPr>
          <w:ilvl w:val="0"/>
          <w:numId w:val="1001"/>
        </w:numPr>
        <w:pStyle w:val="Compact"/>
      </w:pPr>
      <w:hyperlink r:id="rId181">
        <w:r>
          <w:rPr>
            <w:rStyle w:val="Hyperlink"/>
          </w:rPr>
          <w:t xml:space="preserve">Meneses &amp; Blanco (2022). Rapid mapping of damages due to Typhoon Rai using Sentinel-1</w:t>
        </w:r>
      </w:hyperlink>
    </w:p>
    <w:p>
      <w:pPr>
        <w:numPr>
          <w:ilvl w:val="0"/>
          <w:numId w:val="1001"/>
        </w:numPr>
        <w:pStyle w:val="Compact"/>
      </w:pPr>
      <w:hyperlink r:id="rId182">
        <w:r>
          <w:rPr>
            <w:rStyle w:val="Hyperlink"/>
          </w:rPr>
          <w:t xml:space="preserve">Narin et al. (2025). Paddy rice crop height estimation and uncertainty assessment using quantile regression forests. Precision Agriculture 26</w:t>
        </w:r>
      </w:hyperlink>
    </w:p>
    <w:p>
      <w:pPr>
        <w:numPr>
          <w:ilvl w:val="0"/>
          <w:numId w:val="1001"/>
        </w:numPr>
        <w:pStyle w:val="Compact"/>
      </w:pPr>
      <w:hyperlink r:id="rId183">
        <w:r>
          <w:rPr>
            <w:rStyle w:val="Hyperlink"/>
          </w:rPr>
          <w:t xml:space="preserve">Ke et al. (2017). LightGBM. NeurIPS</w:t>
        </w:r>
      </w:hyperlink>
    </w:p>
    <w:p>
      <w:pPr>
        <w:numPr>
          <w:ilvl w:val="0"/>
          <w:numId w:val="1001"/>
        </w:numPr>
        <w:pStyle w:val="Compact"/>
      </w:pPr>
      <w:hyperlink r:id="rId184">
        <w:r>
          <w:rPr>
            <w:rStyle w:val="Hyperlink"/>
          </w:rPr>
          <w:t xml:space="preserve">Ottinger et al. (2022). Mapping aquaculture ponds for the coastal zone of Asia. Remote Sensing 14(1)</w:t>
        </w:r>
      </w:hyperlink>
    </w:p>
    <w:p>
      <w:pPr>
        <w:numPr>
          <w:ilvl w:val="0"/>
          <w:numId w:val="1001"/>
        </w:numPr>
        <w:pStyle w:val="Compact"/>
      </w:pPr>
      <w:hyperlink r:id="rId185">
        <w:r>
          <w:rPr>
            <w:rStyle w:val="Hyperlink"/>
          </w:rPr>
          <w:t xml:space="preserve">Gusmawati et al. (2018). Surveying shrimp aquaculture pond activity using multitemporal VHSR satellite images</w:t>
        </w:r>
      </w:hyperlink>
    </w:p>
    <w:p>
      <w:pPr>
        <w:numPr>
          <w:ilvl w:val="0"/>
          <w:numId w:val="1001"/>
        </w:numPr>
        <w:pStyle w:val="Compact"/>
      </w:pPr>
      <w:hyperlink r:id="rId186">
        <w:r>
          <w:rPr>
            <w:rStyle w:val="Hyperlink"/>
          </w:rPr>
          <w:t xml:space="preserve">NASA Black Marble product</w:t>
        </w:r>
      </w:hyperlink>
    </w:p>
    <w:p>
      <w:pPr>
        <w:numPr>
          <w:ilvl w:val="0"/>
          <w:numId w:val="1001"/>
        </w:numPr>
        <w:pStyle w:val="Compact"/>
      </w:pPr>
      <w:hyperlink r:id="rId187">
        <w:r>
          <w:rPr>
            <w:rStyle w:val="Hyperlink"/>
          </w:rPr>
          <w:t xml:space="preserve">NASA Earth Observatory (2022). Power outages after Hurricane Ian</w:t>
        </w:r>
      </w:hyperlink>
    </w:p>
    <w:p>
      <w:pPr>
        <w:numPr>
          <w:ilvl w:val="0"/>
          <w:numId w:val="1001"/>
        </w:numPr>
        <w:pStyle w:val="Compact"/>
      </w:pPr>
      <w:hyperlink r:id="rId188">
        <w:r>
          <w:rPr>
            <w:rStyle w:val="Hyperlink"/>
          </w:rPr>
          <w:t xml:space="preserve">ESPI: Impact case studies – AGEA</w:t>
        </w:r>
      </w:hyperlink>
    </w:p>
    <w:p>
      <w:pPr>
        <w:numPr>
          <w:ilvl w:val="0"/>
          <w:numId w:val="1001"/>
        </w:numPr>
        <w:pStyle w:val="Compact"/>
      </w:pPr>
      <w:hyperlink r:id="rId189">
        <w:r>
          <w:rPr>
            <w:rStyle w:val="Hyperlink"/>
          </w:rPr>
          <w:t xml:space="preserve">ESA: Sentinel-1 speeds up crop insurance payouts</w:t>
        </w:r>
      </w:hyperlink>
    </w:p>
    <w:p>
      <w:pPr>
        <w:numPr>
          <w:ilvl w:val="0"/>
          <w:numId w:val="1001"/>
        </w:numPr>
        <w:pStyle w:val="Compact"/>
      </w:pPr>
      <w:hyperlink r:id="rId190">
        <w:r>
          <w:rPr>
            <w:rStyle w:val="Hyperlink"/>
          </w:rPr>
          <w:t xml:space="preserve">Copernicus (2026). Sentinel-1D user data opening and future plans</w:t>
        </w:r>
      </w:hyperlink>
    </w:p>
    <w:p>
      <w:pPr>
        <w:numPr>
          <w:ilvl w:val="0"/>
          <w:numId w:val="1001"/>
        </w:numPr>
        <w:pStyle w:val="Compact"/>
      </w:pPr>
      <w:hyperlink r:id="rId191">
        <w:r>
          <w:rPr>
            <w:rStyle w:val="Hyperlink"/>
          </w:rPr>
          <w:t xml:space="preserve">Planet: Sentinel-2 L1C &amp; L2A</w:t>
        </w:r>
      </w:hyperlink>
    </w:p>
    <w:p>
      <w:pPr>
        <w:numPr>
          <w:ilvl w:val="0"/>
          <w:numId w:val="1001"/>
        </w:numPr>
        <w:pStyle w:val="Compact"/>
      </w:pPr>
      <w:hyperlink r:id="rId192">
        <w:r>
          <w:rPr>
            <w:rStyle w:val="Hyperlink"/>
          </w:rPr>
          <w:t xml:space="preserve">European Commission: Copernicus Sentinel data licence</w:t>
        </w:r>
      </w:hyperlink>
    </w:p>
    <w:p>
      <w:pPr>
        <w:numPr>
          <w:ilvl w:val="0"/>
          <w:numId w:val="1001"/>
        </w:numPr>
        <w:pStyle w:val="Compact"/>
      </w:pPr>
      <w:hyperlink r:id="rId193">
        <w:r>
          <w:rPr>
            <w:rStyle w:val="Hyperlink"/>
          </w:rPr>
          <w:t xml:space="preserve">Pasquarella et al. (2023). Cloud Score+</w:t>
        </w:r>
      </w:hyperlink>
    </w:p>
    <w:p>
      <w:pPr>
        <w:numPr>
          <w:ilvl w:val="0"/>
          <w:numId w:val="1001"/>
        </w:numPr>
        <w:pStyle w:val="Compact"/>
      </w:pPr>
      <w:hyperlink r:id="rId194">
        <w:r>
          <w:rPr>
            <w:rStyle w:val="Hyperlink"/>
          </w:rPr>
          <w:t xml:space="preserve">工商時報（2026）：福衛八號對臺一日三次取像</w:t>
        </w:r>
      </w:hyperlink>
    </w:p>
    <w:p>
      <w:pPr>
        <w:numPr>
          <w:ilvl w:val="0"/>
          <w:numId w:val="1001"/>
        </w:numPr>
        <w:pStyle w:val="Compact"/>
      </w:pPr>
      <w:hyperlink r:id="rId195">
        <w:r>
          <w:rPr>
            <w:rStyle w:val="Hyperlink"/>
          </w:rPr>
          <w:t xml:space="preserve">公視（2026）：福衛八號 2031 年前 8 顆升空</w:t>
        </w:r>
      </w:hyperlink>
    </w:p>
    <w:p>
      <w:pPr>
        <w:numPr>
          <w:ilvl w:val="0"/>
          <w:numId w:val="1001"/>
        </w:numPr>
        <w:pStyle w:val="Compact"/>
      </w:pPr>
      <w:hyperlink r:id="rId196">
        <w:r>
          <w:rPr>
            <w:rStyle w:val="Hyperlink"/>
          </w:rPr>
          <w:t xml:space="preserve">農業部（2017）：農業及農地資源盤查成果</w:t>
        </w:r>
      </w:hyperlink>
    </w:p>
    <w:p>
      <w:pPr>
        <w:numPr>
          <w:ilvl w:val="0"/>
          <w:numId w:val="1001"/>
        </w:numPr>
        <w:pStyle w:val="Compact"/>
      </w:pPr>
      <w:hyperlink r:id="rId197">
        <w:r>
          <w:rPr>
            <w:rStyle w:val="Hyperlink"/>
          </w:rPr>
          <w:t xml:space="preserve">農業天然災害救助辦法（現行條文）</w:t>
        </w:r>
      </w:hyperlink>
    </w:p>
    <w:p>
      <w:pPr>
        <w:numPr>
          <w:ilvl w:val="0"/>
          <w:numId w:val="1001"/>
        </w:numPr>
        <w:pStyle w:val="Compact"/>
      </w:pPr>
      <w:hyperlink r:id="rId198">
        <w:r>
          <w:rPr>
            <w:rStyle w:val="Hyperlink"/>
          </w:rPr>
          <w:t xml:space="preserve">農業部（2015）：推動小地主大佃農</w:t>
        </w:r>
      </w:hyperlink>
    </w:p>
    <w:p>
      <w:pPr>
        <w:numPr>
          <w:ilvl w:val="0"/>
          <w:numId w:val="1001"/>
        </w:numPr>
        <w:pStyle w:val="Compact"/>
      </w:pPr>
      <w:hyperlink r:id="rId199">
        <w:r>
          <w:rPr>
            <w:rStyle w:val="Hyperlink"/>
          </w:rPr>
          <w:t xml:space="preserve">農業部（2023）：農產業天然災害救助作業要點附件三現金救助申請表</w:t>
        </w:r>
      </w:hyperlink>
    </w:p>
    <w:p>
      <w:pPr>
        <w:numPr>
          <w:ilvl w:val="0"/>
          <w:numId w:val="1001"/>
        </w:numPr>
        <w:pStyle w:val="Compact"/>
      </w:pPr>
      <w:hyperlink r:id="rId200">
        <w:r>
          <w:rPr>
            <w:rStyle w:val="Hyperlink"/>
          </w:rPr>
          <w:t xml:space="preserve">經濟日報（2026）：地籍圖重測後面積相差快 2 分地</w:t>
        </w:r>
      </w:hyperlink>
    </w:p>
    <w:p>
      <w:pPr>
        <w:numPr>
          <w:ilvl w:val="0"/>
          <w:numId w:val="1001"/>
        </w:numPr>
        <w:pStyle w:val="Compact"/>
      </w:pPr>
      <w:hyperlink r:id="rId201">
        <w:r>
          <w:rPr>
            <w:rStyle w:val="Hyperlink"/>
          </w:rPr>
          <w:t xml:space="preserve">桃園市中壢地政事務所：圖解地籍圖數值化與整合</w:t>
        </w:r>
      </w:hyperlink>
    </w:p>
    <w:p>
      <w:pPr>
        <w:numPr>
          <w:ilvl w:val="0"/>
          <w:numId w:val="1001"/>
        </w:numPr>
        <w:pStyle w:val="Compact"/>
      </w:pPr>
      <w:hyperlink r:id="rId202">
        <w:r>
          <w:rPr>
            <w:rStyle w:val="Hyperlink"/>
          </w:rPr>
          <w:t xml:space="preserve">高雄市政府海洋局：養殖漁業放養申報與救助資格通知</w:t>
        </w:r>
      </w:hyperlink>
    </w:p>
    <w:p>
      <w:pPr>
        <w:numPr>
          <w:ilvl w:val="0"/>
          <w:numId w:val="1001"/>
        </w:numPr>
        <w:pStyle w:val="Compact"/>
      </w:pPr>
      <w:hyperlink r:id="rId203">
        <w:r>
          <w:rPr>
            <w:rStyle w:val="Hyperlink"/>
          </w:rPr>
          <w:t xml:space="preserve">公視（2025）：丹娜絲停電、增氧機停擺與發電機補助</w:t>
        </w:r>
      </w:hyperlink>
    </w:p>
    <w:p>
      <w:pPr>
        <w:numPr>
          <w:ilvl w:val="0"/>
          <w:numId w:val="1001"/>
        </w:numPr>
        <w:pStyle w:val="Compact"/>
      </w:pPr>
      <w:hyperlink r:id="rId204">
        <w:r>
          <w:rPr>
            <w:rStyle w:val="Hyperlink"/>
          </w:rPr>
          <w:t xml:space="preserve">公視（2025）：丹娜絲後台南虱目魚、文蛤死亡</w:t>
        </w:r>
      </w:hyperlink>
    </w:p>
    <w:p>
      <w:pPr>
        <w:numPr>
          <w:ilvl w:val="0"/>
          <w:numId w:val="1001"/>
        </w:numPr>
        <w:pStyle w:val="Compact"/>
      </w:pPr>
      <w:hyperlink r:id="rId205">
        <w:r>
          <w:rPr>
            <w:rStyle w:val="Hyperlink"/>
          </w:rPr>
          <w:t xml:space="preserve">聯合報（2026）：大雨不停台西養殖區堤岸掏空</w:t>
        </w:r>
      </w:hyperlink>
    </w:p>
    <w:p>
      <w:pPr>
        <w:numPr>
          <w:ilvl w:val="0"/>
          <w:numId w:val="1001"/>
        </w:numPr>
        <w:pStyle w:val="Compact"/>
      </w:pPr>
      <w:hyperlink r:id="rId206">
        <w:r>
          <w:rPr>
            <w:rStyle w:val="Hyperlink"/>
          </w:rPr>
          <w:t xml:space="preserve">中央社（2021）：台南虱目魚寒害現金救助</w:t>
        </w:r>
      </w:hyperlink>
    </w:p>
    <w:p>
      <w:pPr>
        <w:numPr>
          <w:ilvl w:val="0"/>
          <w:numId w:val="1001"/>
        </w:numPr>
        <w:pStyle w:val="Compact"/>
      </w:pPr>
      <w:hyperlink r:id="rId207">
        <w:r>
          <w:rPr>
            <w:rStyle w:val="Hyperlink"/>
          </w:rPr>
          <w:t xml:space="preserve">臺中市政府地政局：e-GNSS 即時動態定位應用研究</w:t>
        </w:r>
      </w:hyperlink>
    </w:p>
    <w:p>
      <w:pPr>
        <w:numPr>
          <w:ilvl w:val="0"/>
          <w:numId w:val="1001"/>
        </w:numPr>
        <w:pStyle w:val="Compact"/>
      </w:pPr>
      <w:hyperlink r:id="rId208">
        <w:r>
          <w:rPr>
            <w:rStyle w:val="Hyperlink"/>
          </w:rPr>
          <w:t xml:space="preserve">iThome（2024）：數發部非同步軌道衛星備援站點建置進度</w:t>
        </w:r>
      </w:hyperlink>
    </w:p>
    <w:p>
      <w:pPr>
        <w:numPr>
          <w:ilvl w:val="0"/>
          <w:numId w:val="1001"/>
        </w:numPr>
        <w:pStyle w:val="Compact"/>
      </w:pPr>
      <w:hyperlink r:id="rId209">
        <w:r>
          <w:rPr>
            <w:rStyle w:val="Hyperlink"/>
          </w:rPr>
          <w:t xml:space="preserve">INSIDE（2024）：台灣大哥大完成國內首次手機直連衛星測試</w:t>
        </w:r>
      </w:hyperlink>
    </w:p>
    <w:p>
      <w:pPr>
        <w:numPr>
          <w:ilvl w:val="0"/>
          <w:numId w:val="1001"/>
        </w:numPr>
        <w:pStyle w:val="Compact"/>
      </w:pPr>
      <w:hyperlink r:id="rId210">
        <w:r>
          <w:rPr>
            <w:rStyle w:val="Hyperlink"/>
          </w:rPr>
          <w:t xml:space="preserve">STAC: SpatioTemporal Asset Catalogs</w:t>
        </w:r>
      </w:hyperlink>
    </w:p>
    <w:p>
      <w:pPr>
        <w:numPr>
          <w:ilvl w:val="0"/>
          <w:numId w:val="1001"/>
        </w:numPr>
        <w:pStyle w:val="Compact"/>
      </w:pPr>
      <w:hyperlink r:id="rId211">
        <w:r>
          <w:rPr>
            <w:rStyle w:val="Hyperlink"/>
          </w:rPr>
          <w:t xml:space="preserve">W3C (2013). PROV-Overview</w:t>
        </w:r>
      </w:hyperlink>
    </w:p>
    <w:p>
      <w:pPr>
        <w:numPr>
          <w:ilvl w:val="0"/>
          <w:numId w:val="1001"/>
        </w:numPr>
        <w:pStyle w:val="Compact"/>
      </w:pPr>
      <w:hyperlink r:id="rId212">
        <w:r>
          <w:rPr>
            <w:rStyle w:val="Hyperlink"/>
          </w:rPr>
          <w:t xml:space="preserve">自由時報（2025）：台東改良種芒果寒害現金救助</w:t>
        </w:r>
      </w:hyperlink>
    </w:p>
    <w:p>
      <w:pPr>
        <w:numPr>
          <w:ilvl w:val="0"/>
          <w:numId w:val="1001"/>
        </w:numPr>
        <w:pStyle w:val="Compact"/>
      </w:pPr>
      <w:hyperlink r:id="rId213">
        <w:r>
          <w:rPr>
            <w:rStyle w:val="Hyperlink"/>
          </w:rPr>
          <w:t xml:space="preserve">1111 人力銀行（2026）：行業薪資差距</w:t>
        </w:r>
      </w:hyperlink>
    </w:p>
    <w:p>
      <w:pPr>
        <w:numPr>
          <w:ilvl w:val="0"/>
          <w:numId w:val="1001"/>
        </w:numPr>
        <w:pStyle w:val="Compact"/>
      </w:pPr>
      <w:hyperlink r:id="rId214">
        <w:r>
          <w:rPr>
            <w:rStyle w:val="Hyperlink"/>
          </w:rPr>
          <w:t xml:space="preserve">科技新報（2026）：2025 年平均經常性薪資 47,884 元</w:t>
        </w:r>
      </w:hyperlink>
    </w:p>
    <w:p>
      <w:pPr>
        <w:numPr>
          <w:ilvl w:val="0"/>
          <w:numId w:val="1001"/>
        </w:numPr>
        <w:pStyle w:val="Compact"/>
      </w:pPr>
      <w:hyperlink r:id="rId215">
        <w:r>
          <w:rPr>
            <w:rStyle w:val="Hyperlink"/>
          </w:rPr>
          <w:t xml:space="preserve">Google Cloud：Accelerator-optimized machine pricing</w:t>
        </w:r>
      </w:hyperlink>
    </w:p>
    <w:p>
      <w:pPr>
        <w:numPr>
          <w:ilvl w:val="0"/>
          <w:numId w:val="1001"/>
        </w:numPr>
        <w:pStyle w:val="Compact"/>
      </w:pPr>
      <w:hyperlink r:id="rId216">
        <w:r>
          <w:rPr>
            <w:rStyle w:val="Hyperlink"/>
          </w:rPr>
          <w:t xml:space="preserve">AWS S3 價格整理（2026）</w:t>
        </w:r>
      </w:hyperlink>
    </w:p>
    <w:p>
      <w:pPr>
        <w:numPr>
          <w:ilvl w:val="0"/>
          <w:numId w:val="1001"/>
        </w:numPr>
        <w:pStyle w:val="Compact"/>
      </w:pPr>
      <w:hyperlink r:id="rId217">
        <w:r>
          <w:rPr>
            <w:rStyle w:val="Hyperlink"/>
          </w:rPr>
          <w:t xml:space="preserve">LAND INFO（2026）：Satellite imagery pricing</w:t>
        </w:r>
      </w:hyperlink>
    </w:p>
    <w:p>
      <w:pPr>
        <w:numPr>
          <w:ilvl w:val="0"/>
          <w:numId w:val="1001"/>
        </w:numPr>
        <w:pStyle w:val="Compact"/>
      </w:pPr>
      <w:hyperlink r:id="rId218">
        <w:r>
          <w:rPr>
            <w:rStyle w:val="Hyperlink"/>
          </w:rPr>
          <w:t xml:space="preserve">PRO360：空拍攝影價格</w:t>
        </w:r>
      </w:hyperlink>
    </w:p>
    <w:p>
      <w:pPr>
        <w:numPr>
          <w:ilvl w:val="0"/>
          <w:numId w:val="1001"/>
        </w:numPr>
        <w:pStyle w:val="Compact"/>
      </w:pPr>
      <w:hyperlink r:id="rId219">
        <w:r>
          <w:rPr>
            <w:rStyle w:val="Hyperlink"/>
          </w:rPr>
          <w:t xml:space="preserve">DJI：Phantom 4 RTK specs</w:t>
        </w:r>
      </w:hyperlink>
    </w:p>
    <w:p>
      <w:pPr>
        <w:numPr>
          <w:ilvl w:val="0"/>
          <w:numId w:val="1001"/>
        </w:numPr>
        <w:pStyle w:val="Compact"/>
      </w:pPr>
      <w:hyperlink r:id="rId220">
        <w:r>
          <w:rPr>
            <w:rStyle w:val="Hyperlink"/>
          </w:rPr>
          <w:t xml:space="preserve">遠見雜誌（2015）：無人機鑑災 農損賠償快速又公平</w:t>
        </w:r>
      </w:hyperlink>
    </w:p>
    <w:p>
      <w:pPr>
        <w:numPr>
          <w:ilvl w:val="0"/>
          <w:numId w:val="1001"/>
        </w:numPr>
        <w:pStyle w:val="Compact"/>
      </w:pPr>
      <w:hyperlink r:id="rId221">
        <w:r>
          <w:rPr>
            <w:rStyle w:val="Hyperlink"/>
          </w:rPr>
          <w:t xml:space="preserve">農業部：農災 App、天氣參數與農地覆蓋物資料庫</w:t>
        </w:r>
      </w:hyperlink>
    </w:p>
    <w:p>
      <w:pPr>
        <w:numPr>
          <w:ilvl w:val="0"/>
          <w:numId w:val="1001"/>
        </w:numPr>
        <w:pStyle w:val="Compact"/>
      </w:pPr>
      <w:hyperlink r:id="rId222">
        <w:r>
          <w:rPr>
            <w:rStyle w:val="Hyperlink"/>
          </w:rPr>
          <w:t xml:space="preserve">農業天然災害救助辦法（全國法規資料庫，2026/6/29 修正）</w:t>
        </w:r>
      </w:hyperlink>
    </w:p>
    <w:p>
      <w:pPr>
        <w:numPr>
          <w:ilvl w:val="0"/>
          <w:numId w:val="1001"/>
        </w:numPr>
        <w:pStyle w:val="Compact"/>
      </w:pPr>
      <w:hyperlink r:id="rId223">
        <w:r>
          <w:rPr>
            <w:rStyle w:val="Hyperlink"/>
          </w:rPr>
          <w:t xml:space="preserve">農產業天然災害救助作業要點（農業部主管法規共用系統，2025/3/10 修正）</w:t>
        </w:r>
      </w:hyperlink>
    </w:p>
    <w:p>
      <w:pPr>
        <w:numPr>
          <w:ilvl w:val="0"/>
          <w:numId w:val="1001"/>
        </w:numPr>
        <w:pStyle w:val="Compact"/>
      </w:pPr>
      <w:hyperlink r:id="rId224">
        <w:r>
          <w:rPr>
            <w:rStyle w:val="Hyperlink"/>
          </w:rPr>
          <w:t xml:space="preserve">天氣參數修正規定（行政院公報 2026/6/30）</w:t>
        </w:r>
      </w:hyperlink>
    </w:p>
    <w:p>
      <w:pPr>
        <w:numPr>
          <w:ilvl w:val="0"/>
          <w:numId w:val="1001"/>
        </w:numPr>
        <w:pStyle w:val="Compact"/>
      </w:pPr>
      <w:hyperlink r:id="rId225">
        <w:r>
          <w:rPr>
            <w:rStyle w:val="Hyperlink"/>
          </w:rPr>
          <w:t xml:space="preserve">個人資料保護法全文（國發會）</w:t>
        </w:r>
      </w:hyperlink>
    </w:p>
    <w:p>
      <w:pPr>
        <w:numPr>
          <w:ilvl w:val="0"/>
          <w:numId w:val="1001"/>
        </w:numPr>
        <w:pStyle w:val="Compact"/>
      </w:pPr>
      <w:hyperlink r:id="rId226">
        <w:r>
          <w:rPr>
            <w:rStyle w:val="Hyperlink"/>
          </w:rPr>
          <w:t xml:space="preserve">資通安全管理法（臺北市法規查詢系統）</w:t>
        </w:r>
      </w:hyperlink>
    </w:p>
    <w:p>
      <w:pPr>
        <w:numPr>
          <w:ilvl w:val="0"/>
          <w:numId w:val="1001"/>
        </w:numPr>
        <w:pStyle w:val="Compact"/>
      </w:pPr>
      <w:hyperlink r:id="rId227">
        <w:r>
          <w:rPr>
            <w:rStyle w:val="Hyperlink"/>
          </w:rPr>
          <w:t xml:space="preserve">國土測繪中心：測繪圖資供應</w:t>
        </w:r>
      </w:hyperlink>
    </w:p>
    <w:p>
      <w:pPr>
        <w:numPr>
          <w:ilvl w:val="0"/>
          <w:numId w:val="1001"/>
        </w:numPr>
        <w:pStyle w:val="Compact"/>
      </w:pPr>
      <w:hyperlink r:id="rId228">
        <w:r>
          <w:rPr>
            <w:rStyle w:val="Hyperlink"/>
          </w:rPr>
          <w:t xml:space="preserve">國土測繪中心：申請方式、繳費及領取</w:t>
        </w:r>
      </w:hyperlink>
    </w:p>
    <w:p>
      <w:pPr>
        <w:numPr>
          <w:ilvl w:val="0"/>
          <w:numId w:val="1001"/>
        </w:numPr>
        <w:pStyle w:val="Compact"/>
      </w:pPr>
      <w:hyperlink r:id="rId229">
        <w:r>
          <w:rPr>
            <w:rStyle w:val="Hyperlink"/>
          </w:rPr>
          <w:t xml:space="preserve">國土測繪中心：地籍圖檔申請書</w:t>
        </w:r>
      </w:hyperlink>
    </w:p>
    <w:p>
      <w:pPr>
        <w:numPr>
          <w:ilvl w:val="0"/>
          <w:numId w:val="1001"/>
        </w:numPr>
        <w:pStyle w:val="Compact"/>
      </w:pPr>
      <w:hyperlink r:id="rId230">
        <w:r>
          <w:rPr>
            <w:rStyle w:val="Hyperlink"/>
          </w:rPr>
          <w:t xml:space="preserve">中央社：福衛八號第 2 顆明年第 1 季升空、三家經銷商（2026/10/15）</w:t>
        </w:r>
      </w:hyperlink>
    </w:p>
    <w:p>
      <w:pPr>
        <w:numPr>
          <w:ilvl w:val="0"/>
          <w:numId w:val="1001"/>
        </w:numPr>
        <w:pStyle w:val="Compact"/>
      </w:pPr>
      <w:hyperlink r:id="rId231">
        <w:r>
          <w:rPr>
            <w:rStyle w:val="Hyperlink"/>
          </w:rPr>
          <w:t xml:space="preserve">Cool3c：農航所開放申購福衛二、五號影像（2021/12/30）</w:t>
        </w:r>
      </w:hyperlink>
    </w:p>
    <w:p>
      <w:pPr>
        <w:numPr>
          <w:ilvl w:val="0"/>
          <w:numId w:val="1001"/>
        </w:numPr>
        <w:pStyle w:val="Compact"/>
      </w:pPr>
      <w:hyperlink r:id="rId232">
        <w:r>
          <w:rPr>
            <w:rStyle w:val="Hyperlink"/>
          </w:rPr>
          <w:t xml:space="preserve">國家太空中心：福衛影像經銷服務</w:t>
        </w:r>
      </w:hyperlink>
    </w:p>
    <w:p>
      <w:pPr>
        <w:numPr>
          <w:ilvl w:val="0"/>
          <w:numId w:val="1001"/>
        </w:numPr>
        <w:pStyle w:val="Compact"/>
      </w:pPr>
      <w:hyperlink r:id="rId233">
        <w:r>
          <w:rPr>
            <w:rStyle w:val="Hyperlink"/>
          </w:rPr>
          <w:t xml:space="preserve">土地登記規則（臺北市法規查詢系統）</w:t>
        </w:r>
      </w:hyperlink>
    </w:p>
    <w:p>
      <w:pPr>
        <w:numPr>
          <w:ilvl w:val="0"/>
          <w:numId w:val="1001"/>
        </w:numPr>
        <w:pStyle w:val="Compact"/>
      </w:pPr>
      <w:hyperlink r:id="rId234">
        <w:r>
          <w:rPr>
            <w:rStyle w:val="Hyperlink"/>
          </w:rPr>
          <w:t xml:space="preserve">內政部函：謄本申請身分證明與憑證</w:t>
        </w:r>
      </w:hyperlink>
    </w:p>
    <w:p>
      <w:pPr>
        <w:numPr>
          <w:ilvl w:val="0"/>
          <w:numId w:val="1001"/>
        </w:numPr>
        <w:pStyle w:val="Compact"/>
      </w:pPr>
      <w:hyperlink r:id="rId235">
        <w:r>
          <w:rPr>
            <w:rStyle w:val="Hyperlink"/>
          </w:rPr>
          <w:t xml:space="preserve">國土測繪中心：常見問答</w:t>
        </w:r>
      </w:hyperlink>
    </w:p>
    <w:p>
      <w:pPr>
        <w:numPr>
          <w:ilvl w:val="0"/>
          <w:numId w:val="1001"/>
        </w:numPr>
        <w:pStyle w:val="Compact"/>
      </w:pPr>
      <w:hyperlink r:id="rId236">
        <w:r>
          <w:rPr>
            <w:rStyle w:val="Hyperlink"/>
          </w:rPr>
          <w:t xml:space="preserve">國土測繪圖資服務雲：介接服務</w:t>
        </w:r>
      </w:hyperlink>
    </w:p>
    <w:p>
      <w:pPr>
        <w:numPr>
          <w:ilvl w:val="0"/>
          <w:numId w:val="1001"/>
        </w:numPr>
        <w:pStyle w:val="Compact"/>
      </w:pPr>
      <w:hyperlink r:id="rId237">
        <w:r>
          <w:rPr>
            <w:rStyle w:val="Hyperlink"/>
          </w:rPr>
          <w:t xml:space="preserve">臺中市地政事務所：土地鑑界複丈申請須知</w:t>
        </w:r>
      </w:hyperlink>
    </w:p>
    <w:p>
      <w:pPr>
        <w:numPr>
          <w:ilvl w:val="0"/>
          <w:numId w:val="1001"/>
        </w:numPr>
        <w:pStyle w:val="Compact"/>
      </w:pPr>
      <w:hyperlink r:id="rId238">
        <w:r>
          <w:rPr>
            <w:rStyle w:val="Hyperlink"/>
          </w:rPr>
          <w:t xml:space="preserve">新北市八里區公所：三七五租約訂立或換訂登記</w:t>
        </w:r>
      </w:hyperlink>
    </w:p>
    <w:p>
      <w:pPr>
        <w:numPr>
          <w:ilvl w:val="0"/>
          <w:numId w:val="1001"/>
        </w:numPr>
        <w:pStyle w:val="Compact"/>
      </w:pPr>
      <w:hyperlink r:id="rId239">
        <w:r>
          <w:rPr>
            <w:rStyle w:val="Hyperlink"/>
          </w:rPr>
          <w:t xml:space="preserve">高雄市政府海洋局：陸上養殖漁業登記證申請</w:t>
        </w:r>
      </w:hyperlink>
    </w:p>
    <w:p>
      <w:pPr>
        <w:numPr>
          <w:ilvl w:val="0"/>
          <w:numId w:val="1001"/>
        </w:numPr>
        <w:pStyle w:val="Compact"/>
      </w:pPr>
      <w:hyperlink r:id="rId240">
        <w:r>
          <w:rPr>
            <w:rStyle w:val="Hyperlink"/>
          </w:rPr>
          <w:t xml:space="preserve">高雄市公所：農業、漁業、畜牧業天然災害現金救助申請</w:t>
        </w:r>
      </w:hyperlink>
    </w:p>
    <w:p>
      <w:pPr>
        <w:numPr>
          <w:ilvl w:val="0"/>
          <w:numId w:val="1001"/>
        </w:numPr>
        <w:pStyle w:val="Compact"/>
      </w:pPr>
      <w:hyperlink r:id="rId241">
        <w:r>
          <w:rPr>
            <w:rStyle w:val="Hyperlink"/>
          </w:rPr>
          <w:t xml:space="preserve">農糧署：111 年綠色環境給付計畫內容重點</w:t>
        </w:r>
      </w:hyperlink>
    </w:p>
    <w:p>
      <w:pPr>
        <w:numPr>
          <w:ilvl w:val="0"/>
          <w:numId w:val="1001"/>
        </w:numPr>
        <w:pStyle w:val="Compact"/>
      </w:pPr>
      <w:hyperlink r:id="rId242">
        <w:r>
          <w:rPr>
            <w:rStyle w:val="Hyperlink"/>
          </w:rPr>
          <w:t xml:space="preserve">114 年綠色環境給付申報作業期程</w:t>
        </w:r>
      </w:hyperlink>
    </w:p>
    <w:p>
      <w:pPr>
        <w:numPr>
          <w:ilvl w:val="0"/>
          <w:numId w:val="1001"/>
        </w:numPr>
        <w:pStyle w:val="Compact"/>
      </w:pPr>
      <w:hyperlink r:id="rId243">
        <w:r>
          <w:rPr>
            <w:rStyle w:val="Hyperlink"/>
          </w:rPr>
          <w:t xml:space="preserve">經濟日報：農業數位整合服務上線（2026/1/2）</w:t>
        </w:r>
      </w:hyperlink>
    </w:p>
    <w:p>
      <w:pPr>
        <w:numPr>
          <w:ilvl w:val="0"/>
          <w:numId w:val="1001"/>
        </w:numPr>
        <w:pStyle w:val="Compact"/>
      </w:pPr>
      <w:r>
        <w:t xml:space="preserve">天相星團隊（2026）。《衛星測試示範：程式報告與解析》。專案內部文件，含 skyaide_demo.py 與 run_multi_seeds.py 測試結果。</w:t>
      </w:r>
    </w:p>
    <w:p>
      <w:pPr>
        <w:numPr>
          <w:ilvl w:val="0"/>
          <w:numId w:val="1001"/>
        </w:numPr>
        <w:pStyle w:val="Compact"/>
      </w:pPr>
      <w:hyperlink r:id="rId244">
        <w:r>
          <w:rPr>
            <w:rStyle w:val="Hyperlink"/>
          </w:rPr>
          <w:t xml:space="preserve">監察院調查報告：表 6 地方政府救助案件撥款天數</w:t>
        </w:r>
      </w:hyperlink>
    </w:p>
    <w:p>
      <w:pPr>
        <w:numPr>
          <w:ilvl w:val="0"/>
          <w:numId w:val="1001"/>
        </w:numPr>
        <w:pStyle w:val="Compact"/>
      </w:pPr>
      <w:hyperlink r:id="rId245">
        <w:r>
          <w:rPr>
            <w:rStyle w:val="Hyperlink"/>
          </w:rPr>
          <w:t xml:space="preserve">農業部資訊服務通訊第 66 期：現地照相 App 及資料應用</w:t>
        </w:r>
      </w:hyperlink>
    </w:p>
    <w:p>
      <w:pPr>
        <w:numPr>
          <w:ilvl w:val="0"/>
          <w:numId w:val="1001"/>
        </w:numPr>
        <w:pStyle w:val="Compact"/>
      </w:pPr>
      <w:hyperlink r:id="rId223">
        <w:r>
          <w:rPr>
            <w:rStyle w:val="Hyperlink"/>
          </w:rPr>
          <w:t xml:space="preserve">農產業天然災害救助作業要點：附件三申請表及其他附件</w:t>
        </w:r>
      </w:hyperlink>
    </w:p>
    <w:p>
      <w:pPr>
        <w:numPr>
          <w:ilvl w:val="0"/>
          <w:numId w:val="1001"/>
        </w:numPr>
        <w:pStyle w:val="Compact"/>
      </w:pPr>
      <w:hyperlink r:id="rId246">
        <w:r>
          <w:rPr>
            <w:rStyle w:val="Hyperlink"/>
          </w:rPr>
          <w:t xml:space="preserve">農業部 2025 年 4 月 18 日農糧字第 1141108673 號公告：種植客觀證明文件</w:t>
        </w:r>
      </w:hyperlink>
    </w:p>
    <w:p>
      <w:pPr>
        <w:numPr>
          <w:ilvl w:val="0"/>
          <w:numId w:val="1001"/>
        </w:numPr>
        <w:pStyle w:val="Compact"/>
      </w:pPr>
      <w:hyperlink r:id="rId247">
        <w:r>
          <w:rPr>
            <w:rStyle w:val="Hyperlink"/>
          </w:rPr>
          <w:t xml:space="preserve">Copernicus SentiWiki：Sentinel-1 產品、空間解析度與像素間距</w:t>
        </w:r>
      </w:hyperlink>
    </w:p>
    <w:p>
      <w:pPr>
        <w:numPr>
          <w:ilvl w:val="0"/>
          <w:numId w:val="1001"/>
        </w:numPr>
        <w:pStyle w:val="Compact"/>
      </w:pPr>
      <w:hyperlink r:id="rId248">
        <w:r>
          <w:rPr>
            <w:rStyle w:val="Hyperlink"/>
          </w:rPr>
          <w:t xml:space="preserve">農業部 112–114 年度單位決算：農業天然災害救助行政作業實支</w:t>
        </w:r>
      </w:hyperlink>
    </w:p>
    <w:p>
      <w:pPr>
        <w:numPr>
          <w:ilvl w:val="0"/>
          <w:numId w:val="1001"/>
        </w:numPr>
        <w:pStyle w:val="Compact"/>
      </w:pPr>
      <w:hyperlink r:id="rId249">
        <w:r>
          <w:rPr>
            <w:rStyle w:val="Hyperlink"/>
          </w:rPr>
          <w:t xml:space="preserve">農業金融署：辦理農業天然災害低利貸款要點，受災證明書附件</w:t>
        </w:r>
      </w:hyperlink>
    </w:p>
    <w:p>
      <w:pPr>
        <w:numPr>
          <w:ilvl w:val="0"/>
          <w:numId w:val="1001"/>
        </w:numPr>
        <w:pStyle w:val="Compact"/>
      </w:pPr>
      <w:r>
        <w:t xml:space="preserve">天相星團隊（2026）。團隊原型（團隊demo）設計資料：花蓮光復影像比對、土地建檔、作物查驗、R1–R5 作業及模型設計。團隊內部專案文件。</w:t>
      </w:r>
    </w:p>
    <w:p>
      <w:pPr>
        <w:numPr>
          <w:ilvl w:val="0"/>
          <w:numId w:val="1001"/>
        </w:numPr>
        <w:pStyle w:val="Compact"/>
      </w:pPr>
      <w:hyperlink r:id="rId250">
        <w:r>
          <w:rPr>
            <w:rStyle w:val="Hyperlink"/>
          </w:rPr>
          <w:t xml:space="preserve">花蓮縣鳳林地政事務所：跨所代為收件便民服務計畫與轄區</w:t>
        </w:r>
      </w:hyperlink>
    </w:p>
    <w:p>
      <w:pPr>
        <w:numPr>
          <w:ilvl w:val="0"/>
          <w:numId w:val="1001"/>
        </w:numPr>
        <w:pStyle w:val="Compact"/>
      </w:pPr>
      <w:hyperlink r:id="rId251">
        <w:r>
          <w:rPr>
            <w:rStyle w:val="Hyperlink"/>
          </w:rPr>
          <w:t xml:space="preserve">花蓮縣政府：光復鄉農產業全品項樺加沙救助與指定地段免勘條件</w:t>
        </w:r>
      </w:hyperlink>
    </w:p>
    <w:p>
      <w:pPr>
        <w:numPr>
          <w:ilvl w:val="0"/>
          <w:numId w:val="1001"/>
        </w:numPr>
        <w:pStyle w:val="Compact"/>
      </w:pPr>
      <w:r>
        <w:t xml:space="preserve">天相星團隊（2026）。《衛星測試示範：丹娜絲衛星影像分析報告》。專案內部文件，含 Sentinel-1／Sentinel-2 處理程式與結果圖。</w:t>
      </w:r>
    </w:p>
    <w:p>
      <w:pPr>
        <w:numPr>
          <w:ilvl w:val="0"/>
          <w:numId w:val="1001"/>
        </w:numPr>
        <w:pStyle w:val="Compact"/>
      </w:pPr>
      <w:hyperlink r:id="rId252">
        <w:r>
          <w:rPr>
            <w:rStyle w:val="Hyperlink"/>
          </w:rPr>
          <w:t xml:space="preserve">Microsoft Planetary Computer：Sentinel-1 RTC 與 Sentinel-2 L2A 資料集（Contains modified Copernicus Sentinel data 2024–2025）</w:t>
        </w:r>
      </w:hyperlink>
    </w:p>
    <w:p>
      <w:pPr>
        <w:numPr>
          <w:ilvl w:val="0"/>
          <w:numId w:val="1001"/>
        </w:numPr>
        <w:pStyle w:val="Compact"/>
      </w:pPr>
      <w:hyperlink r:id="rId253">
        <w:r>
          <w:rPr>
            <w:rStyle w:val="Hyperlink"/>
          </w:rPr>
          <w:t xml:space="preserve">中央社（2025-07-07）：丹娜絲颱風過後嘉義縣道路積水與災情</w:t>
        </w:r>
      </w:hyperlink>
    </w:p>
    <w:bookmarkEnd w:id="254"/>
    <w:bookmarkEnd w:id="255"/>
    <w:sectPr>
      <w:pgSz w:w="11906" w:h="16838"/>
      <w:pgMar w:left="1020" w:right="1020" w:top="1134"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36" w:lineRule="auto" w:after="80" w:before="0"/>
    </w:pPr>
    <w:rPr>
      <w:rFonts w:ascii="Times New Roman" w:hAnsi="Times New Roman" w:cs="Times New Roman" w:eastAsia="新細明體"/>
      <w:sz w:val="22"/>
    </w:rPr>
  </w:style>
  <w:style w:styleId="BodyText" w:type="paragraph">
    <w:name w:val="Body Text"/>
    <w:basedOn w:val="Normal"/>
    <w:link w:val="BodyTextChar"/>
    <w:pPr>
      <w:spacing w:after="80" w:before="0" w:line="336" w:lineRule="auto"/>
    </w:pPr>
    <w:qFormat/>
    <w:rPr>
      <w:rFonts w:ascii="Times New Roman" w:hAnsi="Times New Roman" w:cs="Times New Roman" w:eastAsia="新細明體"/>
      <w:sz w:val="22"/>
    </w:rPr>
  </w:style>
  <w:style w:customStyle="1" w:styleId="FirstParagraph" w:type="paragraph">
    <w:name w:val="First Paragraph"/>
    <w:basedOn w:val="BodyText"/>
    <w:next w:val="BodyText"/>
    <w:qFormat/>
    <w:pPr>
      <w:spacing w:line="336" w:lineRule="auto" w:after="80" w:before="0"/>
    </w:pPr>
    <w:rPr>
      <w:rFonts w:ascii="Times New Roman" w:hAnsi="Times New Roman" w:cs="Times New Roman" w:eastAsia="新細明體"/>
      <w:sz w:val="22"/>
    </w:rPr>
  </w:style>
  <w:style w:customStyle="1" w:styleId="Compact" w:type="paragraph">
    <w:name w:val="Compact"/>
    <w:basedOn w:val="BodyText"/>
    <w:qFormat/>
    <w:pPr>
      <w:spacing w:after="80" w:before="0" w:line="336" w:lineRule="auto"/>
    </w:pPr>
    <w:rPr>
      <w:rFonts w:ascii="Times New Roman" w:hAnsi="Times New Roman" w:cs="Times New Roman" w:eastAsia="新細明體"/>
      <w:sz w:val="22"/>
    </w:rPr>
  </w:style>
  <w:style w:styleId="Title" w:type="paragraph">
    <w:name w:val="Title"/>
    <w:basedOn w:val="Normal"/>
    <w:next w:val="BodyText"/>
    <w:qFormat/>
    <w:pPr>
      <w:keepNext/>
      <w:keepLines/>
      <w:spacing w:after="240" w:before="480"/>
      <w:jc w:val="center"/>
    </w:pPr>
    <w:rPr>
      <w:rFonts w:ascii="Times New Roman" w:hAnsi="Times New Roman" w:cs="Times New Roman" w:eastAsia="微軟正黑體"/>
      <w:b/>
      <w:bCs/>
      <w:color w:val="14213D"/>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720" w:before="3200"/>
      <w:jc w:val="center"/>
      <w:outlineLvl w:val="0"/>
    </w:pPr>
    <w:rPr>
      <w:rFonts w:ascii="Times New Roman" w:hAnsi="Times New Roman" w:cs="Times New Roman" w:eastAsia="微軟正黑體"/>
      <w:b/>
      <w:bCs/>
      <w:color w:val="14213D"/>
      <w:sz w:val="44"/>
      <w:szCs w:val="32"/>
    </w:rPr>
  </w:style>
  <w:style w:styleId="Heading2" w:type="paragraph">
    <w:name w:val="Heading 2"/>
    <w:basedOn w:val="Normal"/>
    <w:next w:val="BodyText"/>
    <w:uiPriority w:val="9"/>
    <w:unhideWhenUsed/>
    <w:qFormat/>
    <w:pPr>
      <w:keepNext/>
      <w:keepLines/>
      <w:spacing w:after="80" w:before="240"/>
      <w:outlineLvl w:val="1"/>
    </w:pPr>
    <w:rPr>
      <w:rFonts w:ascii="Times New Roman" w:hAnsi="Times New Roman" w:cs="Times New Roman" w:eastAsia="微軟正黑體"/>
      <w:b/>
      <w:bCs/>
      <w:color w:val="14213D"/>
      <w:sz w:val="30"/>
      <w:szCs w:val="28"/>
    </w:rPr>
  </w:style>
  <w:style w:styleId="Heading3" w:type="paragraph">
    <w:name w:val="Heading 3"/>
    <w:basedOn w:val="Normal"/>
    <w:next w:val="BodyText"/>
    <w:uiPriority w:val="9"/>
    <w:unhideWhenUsed/>
    <w:qFormat/>
    <w:pPr>
      <w:keepNext/>
      <w:keepLines/>
      <w:spacing w:after="80" w:before="240"/>
      <w:outlineLvl w:val="2"/>
    </w:pPr>
    <w:rPr>
      <w:rFonts w:ascii="Times New Roman" w:hAnsi="Times New Roman" w:cs="Times New Roman" w:eastAsia="微軟正黑體"/>
      <w:b/>
      <w:bCs/>
      <w:color w:val="1F4FA8"/>
      <w:sz w:val="25"/>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101" Type="http://schemas.openxmlformats.org/officeDocument/2006/relationships/image" Target="media/rId101.png"/><Relationship Id="rId98" Type="http://schemas.openxmlformats.org/officeDocument/2006/relationships/image" Target="media/rId98.png"/><Relationship Id="rId104" Type="http://schemas.openxmlformats.org/officeDocument/2006/relationships/image" Target="media/rId104.png"/><Relationship Id="rId20" Type="http://schemas.openxmlformats.org/officeDocument/2006/relationships/image" Target="media/rId20.png"/><Relationship Id="rId110" Type="http://schemas.openxmlformats.org/officeDocument/2006/relationships/image" Target="media/rId110.png"/><Relationship Id="rId33" Type="http://schemas.openxmlformats.org/officeDocument/2006/relationships/image" Target="media/rId33.png"/><Relationship Id="rId57" Type="http://schemas.openxmlformats.org/officeDocument/2006/relationships/image" Target="media/rId57.png"/><Relationship Id="rId60" Type="http://schemas.openxmlformats.org/officeDocument/2006/relationships/image" Target="media/rId60.png"/><Relationship Id="rId24" Type="http://schemas.openxmlformats.org/officeDocument/2006/relationships/image" Target="media/rId24.png"/><Relationship Id="rId36" Type="http://schemas.openxmlformats.org/officeDocument/2006/relationships/image" Target="media/rId36.png"/><Relationship Id="rId72" Type="http://schemas.openxmlformats.org/officeDocument/2006/relationships/image" Target="media/rId72.png"/><Relationship Id="rId75" Type="http://schemas.openxmlformats.org/officeDocument/2006/relationships/image" Target="media/rId75.png"/><Relationship Id="rId78" Type="http://schemas.openxmlformats.org/officeDocument/2006/relationships/image" Target="media/rId78.png"/><Relationship Id="rId81" Type="http://schemas.openxmlformats.org/officeDocument/2006/relationships/image" Target="media/rId81.png"/><Relationship Id="rId64" Type="http://schemas.openxmlformats.org/officeDocument/2006/relationships/image" Target="media/rId64.png"/><Relationship Id="rId84" Type="http://schemas.openxmlformats.org/officeDocument/2006/relationships/image" Target="media/rId84.png"/><Relationship Id="rId42" Type="http://schemas.openxmlformats.org/officeDocument/2006/relationships/image" Target="media/rId42.png"/><Relationship Id="rId87" Type="http://schemas.openxmlformats.org/officeDocument/2006/relationships/image" Target="media/rId87.png"/><Relationship Id="rId90" Type="http://schemas.openxmlformats.org/officeDocument/2006/relationships/image" Target="media/rId90.png"/><Relationship Id="rId93" Type="http://schemas.openxmlformats.org/officeDocument/2006/relationships/image" Target="media/rId93.png"/><Relationship Id="rId107" Type="http://schemas.openxmlformats.org/officeDocument/2006/relationships/image" Target="media/rId107.png"/><Relationship Id="rId30" Type="http://schemas.openxmlformats.org/officeDocument/2006/relationships/image" Target="media/rId30.png"/><Relationship Id="rId45" Type="http://schemas.openxmlformats.org/officeDocument/2006/relationships/image" Target="media/rId45.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69" Type="http://schemas.openxmlformats.org/officeDocument/2006/relationships/image" Target="media/rId69.png"/><Relationship Id="rId155" Type="http://schemas.openxmlformats.org/officeDocument/2006/relationships/hyperlink" Target="https://6laws.net/6law/law/&#36786;&#26989;&#20445;&#38570;&#27861;.htm" TargetMode="External"/><Relationship Id="rId197" Type="http://schemas.openxmlformats.org/officeDocument/2006/relationships/hyperlink" Target="https://6laws.net/6law/law3/&#36786;&#26989;&#22825;&#28982;&#28797;&#23475;&#25937;&#21161;&#36774;&#27861;.htm" TargetMode="External"/><Relationship Id="rId192" Type="http://schemas.openxmlformats.org/officeDocument/2006/relationships/hyperlink" Target="https://ads.atmosphere.copernicus.eu/licences/ec-sentinel" TargetMode="External"/><Relationship Id="rId145" Type="http://schemas.openxmlformats.org/officeDocument/2006/relationships/hyperlink" Target="https://agriland.ie/farming-news/3165-farmers-receive-satellite-inspections-notifications-dafm" TargetMode="External"/><Relationship Id="rId185" Type="http://schemas.openxmlformats.org/officeDocument/2006/relationships/hyperlink" Target="https://agris.fao.org/search/en/records/65df666f6eef00c2cea29e19" TargetMode="External"/><Relationship Id="rId174" Type="http://schemas.openxmlformats.org/officeDocument/2006/relationships/hyperlink" Target="https://arxiv.org/abs/1905.11893" TargetMode="External"/><Relationship Id="rId178" Type="http://schemas.openxmlformats.org/officeDocument/2006/relationships/hyperlink" Target="https://arxiv.org/abs/2310.18660" TargetMode="External"/><Relationship Id="rId215" Type="http://schemas.openxmlformats.org/officeDocument/2006/relationships/hyperlink" Target="https://cloud.google.com/products/compute/pricing/accelerator-optimized?hl=en" TargetMode="External"/><Relationship Id="rId159" Type="http://schemas.openxmlformats.org/officeDocument/2006/relationships/hyperlink" Target="https://cybsbox.cy.gov.tw/CYBSBoxSSL/edoc/download/61399" TargetMode="External"/><Relationship Id="rId244" Type="http://schemas.openxmlformats.org/officeDocument/2006/relationships/hyperlink" Target="https://cybsbox.cy.gov.tw/CYBSBoxSSL/edoc/download/72430" TargetMode="External"/><Relationship Id="rId160" Type="http://schemas.openxmlformats.org/officeDocument/2006/relationships/hyperlink" Target="https://cybsbox.cy.gov.tw/CYBSBoxSSL/edoc/download/72762" TargetMode="External"/><Relationship Id="rId190" Type="http://schemas.openxmlformats.org/officeDocument/2006/relationships/hyperlink" Target="https://dataspace.copernicus.eu/node/3176" TargetMode="External"/><Relationship Id="rId193" Type="http://schemas.openxmlformats.org/officeDocument/2006/relationships/hyperlink" Target="https://developers.google.com/earth-engine/datasets/catalog/GOOGLE_CLOUD_SCORE_PLUS_V1_S2_HARMONIZED" TargetMode="External"/><Relationship Id="rId219" Type="http://schemas.openxmlformats.org/officeDocument/2006/relationships/hyperlink" Target="https://dji.com/phantom-4-rtk/info" TargetMode="External"/><Relationship Id="rId173" Type="http://schemas.openxmlformats.org/officeDocument/2006/relationships/hyperlink" Target="https://doaj.org/article/103f5e1094994facba05434cdd914e81" TargetMode="External"/><Relationship Id="rId191" Type="http://schemas.openxmlformats.org/officeDocument/2006/relationships/hyperlink" Target="https://docs.planet.com/data/public-data/copernicus/sentinel-2" TargetMode="External"/><Relationship Id="rId237" Type="http://schemas.openxmlformats.org/officeDocument/2006/relationships/hyperlink" Target="https://dsland.land.taichung.gov.tw/archive/79/file/%E5%90%84%E9%A0%85%E7%94%B3%E8%AB%8B%E9%A0%88%E7%9F%A5/%E5%9C%9F%E5%9C%B0%E9%91%91%E7%95%8C%E8%A4%87%E4%B8%88%E7%94%B3%E8%AB%8B%E9%A0%88%E7%9F%A5.pdf" TargetMode="External"/><Relationship Id="rId147" Type="http://schemas.openxmlformats.org/officeDocument/2006/relationships/hyperlink" Target="https://emergency.copernicus.eu/EMSR284" TargetMode="External"/><Relationship Id="rId154" Type="http://schemas.openxmlformats.org/officeDocument/2006/relationships/hyperlink" Target="https://etds.lib.ntnu.edu.tw/thesis/detail/3e4c7c8580d9657c296743fe6a8cdfbe" TargetMode="External"/><Relationship Id="rId177" Type="http://schemas.openxmlformats.org/officeDocument/2006/relationships/hyperlink" Target="https://european-flood.emergency.copernicus.eu/sites/default/files/AM/AM2022/1-3_GFM_ensemble%20_flood_product_v1.pdf" TargetMode="External"/><Relationship Id="rId120" Type="http://schemas.openxmlformats.org/officeDocument/2006/relationships/hyperlink" Target="https://files.chcg.gov.tw/files/71_20250502104232659_&#36786;&#26989;&#37096;%20&#20844;&#21578;.pdf" TargetMode="External"/><Relationship Id="rId214" Type="http://schemas.openxmlformats.org/officeDocument/2006/relationships/hyperlink" Target="https://finance.technews.tw/2026/02/11/2025-salary-47884ntd/" TargetMode="External"/><Relationship Id="rId250" Type="http://schemas.openxmlformats.org/officeDocument/2006/relationships/hyperlink" Target="https://flland.hl.gov.tw/News_Content.aspx?n=3231&amp;s=20735" TargetMode="External"/><Relationship Id="rId246" Type="http://schemas.openxmlformats.org/officeDocument/2006/relationships/hyperlink" Target="https://gazette.nat.gov.tw/EG_FileManager/eguploadpub/eg031071/ch07/type3/gov88/num27/Eg.pdf" TargetMode="External"/><Relationship Id="rId241" Type="http://schemas.openxmlformats.org/officeDocument/2006/relationships/hyperlink" Target="https://kmweb.moa.gov.tw/files/knowledge_discuss/42914/A02_1.pdf" TargetMode="External"/><Relationship Id="rId217" Type="http://schemas.openxmlformats.org/officeDocument/2006/relationships/hyperlink" Target="https://landinfo.com/satellite-imagery-pricing.html" TargetMode="External"/><Relationship Id="rId249" Type="http://schemas.openxmlformats.org/officeDocument/2006/relationships/hyperlink" Target="https://law.afna.gov.tw/files/boaf/law/50/A01_7.pdf" TargetMode="External"/><Relationship Id="rId223" Type="http://schemas.openxmlformats.org/officeDocument/2006/relationships/hyperlink" Target="https://law.moa.gov.tw/LawContent.aspx?id=GL000268" TargetMode="External"/><Relationship Id="rId222" Type="http://schemas.openxmlformats.org/officeDocument/2006/relationships/hyperlink" Target="https://law.moj.gov.tw/LawClass/LawAll.aspx?pcode=M0090019" TargetMode="External"/><Relationship Id="rId234" Type="http://schemas.openxmlformats.org/officeDocument/2006/relationships/hyperlink" Target="https://laws.gov.taipei/law/Interpretation/ContentExport/FE259189?type=5" TargetMode="External"/><Relationship Id="rId226" Type="http://schemas.openxmlformats.org/officeDocument/2006/relationships/hyperlink" Target="https://laws.gov.taipei/law/LawSearch/LawExport/FL088622?type=2" TargetMode="External"/><Relationship Id="rId233" Type="http://schemas.openxmlformats.org/officeDocument/2006/relationships/hyperlink" Target="https://laws.gov.taipei/law/LawSearch/LawPrint/FL003036?type=0" TargetMode="External"/><Relationship Id="rId236" Type="http://schemas.openxmlformats.org/officeDocument/2006/relationships/hyperlink" Target="https://maps.nlsc.gov.tw/S09SOA/homePage.action?Language=ZH" TargetMode="External"/><Relationship Id="rId179" Type="http://schemas.openxmlformats.org/officeDocument/2006/relationships/hyperlink" Target="https://mdpi-res.com/d_attachment/remotesensing/remotesensing-12-03885/article_deploy/remotesensing-12-03885.pdf" TargetMode="External"/><Relationship Id="rId200" Type="http://schemas.openxmlformats.org/officeDocument/2006/relationships/hyperlink" Target="https://money.udn.com/money/story/5621/9459787" TargetMode="External"/><Relationship Id="rId126" Type="http://schemas.openxmlformats.org/officeDocument/2006/relationships/hyperlink" Target="https://money.udn.com/money/story/7307/8942243" TargetMode="External"/><Relationship Id="rId163" Type="http://schemas.openxmlformats.org/officeDocument/2006/relationships/hyperlink" Target="https://money.udn.com/money/story/7307/9066040" TargetMode="External"/><Relationship Id="rId243" Type="http://schemas.openxmlformats.org/officeDocument/2006/relationships/hyperlink" Target="https://money.udn.com/money/story/7307/9240827" TargetMode="External"/><Relationship Id="rId127" Type="http://schemas.openxmlformats.org/officeDocument/2006/relationships/hyperlink" Target="https://news.ltn.com.tw/amp/news/life/breakingnews/5486893" TargetMode="External"/><Relationship Id="rId212" Type="http://schemas.openxmlformats.org/officeDocument/2006/relationships/hyperlink" Target="https://news.ltn.com.tw/news/Taitung/breakingnews/5012857" TargetMode="External"/><Relationship Id="rId172" Type="http://schemas.openxmlformats.org/officeDocument/2006/relationships/hyperlink" Target="https://news.ltn.com.tw/news/life/breakingnews/5490839" TargetMode="External"/><Relationship Id="rId124" Type="http://schemas.openxmlformats.org/officeDocument/2006/relationships/hyperlink" Target="https://news.ltn.com.tw/news/life/paper/1719891" TargetMode="External"/><Relationship Id="rId130" Type="http://schemas.openxmlformats.org/officeDocument/2006/relationships/hyperlink" Target="https://news.pts.org.tw/article/390063" TargetMode="External"/><Relationship Id="rId125" Type="http://schemas.openxmlformats.org/officeDocument/2006/relationships/hyperlink" Target="https://news.pts.org.tw/article/639374" TargetMode="External"/><Relationship Id="rId203" Type="http://schemas.openxmlformats.org/officeDocument/2006/relationships/hyperlink" Target="https://news.pts.org.tw/article/761566" TargetMode="External"/><Relationship Id="rId122" Type="http://schemas.openxmlformats.org/officeDocument/2006/relationships/hyperlink" Target="https://news.pts.org.tw/article/761774" TargetMode="External"/><Relationship Id="rId204" Type="http://schemas.openxmlformats.org/officeDocument/2006/relationships/hyperlink" Target="https://news.pts.org.tw/article/766684" TargetMode="External"/><Relationship Id="rId141" Type="http://schemas.openxmlformats.org/officeDocument/2006/relationships/hyperlink" Target="https://news.pts.org.tw/article/794885" TargetMode="External"/><Relationship Id="rId195" Type="http://schemas.openxmlformats.org/officeDocument/2006/relationships/hyperlink" Target="https://news.pts.org.tw/article/808282" TargetMode="External"/><Relationship Id="rId132" Type="http://schemas.openxmlformats.org/officeDocument/2006/relationships/hyperlink" Target="https://newtalk.tw/news/view/2024-10-07/939291" TargetMode="External"/><Relationship Id="rId123" Type="http://schemas.openxmlformats.org/officeDocument/2006/relationships/hyperlink" Target="https://newtalk.tw/news/view/2025-07-08/980593" TargetMode="External"/><Relationship Id="rId176" Type="http://schemas.openxmlformats.org/officeDocument/2006/relationships/hyperlink" Target="https://openaccess.thecvf.com/content_CVPRW_2020/papers/w11/Bonafilia_Sen1Floods11_A_Georeferenced_Dataset_to_Train_and_Test_Deep_Learning_CVPRW_2020_paper.pdf" TargetMode="External"/><Relationship Id="rId184" Type="http://schemas.openxmlformats.org/officeDocument/2006/relationships/hyperlink" Target="https://opus.bibliothek.uni-wuerzburg.de/files/25220/remotesensing-14-00153.pdf" TargetMode="External"/><Relationship Id="rId242" Type="http://schemas.openxmlformats.org/officeDocument/2006/relationships/hyperlink" Target="https://orgws.kcg.gov.tw/001/KcgOrgUploadFiles/273/relfile/67250/458674/1e5de251-13a6-44a7-9ef8-d45c041ac5d9.pdf" TargetMode="External"/><Relationship Id="rId202" Type="http://schemas.openxmlformats.org/officeDocument/2006/relationships/hyperlink" Target="https://orgws.kcg.gov.tw/001/KcgOrgUploadFiles/281/relfile/66796/268311/9e27b851-9c14-443f-9152-fb83bdab7677.pdf" TargetMode="External"/><Relationship Id="rId239" Type="http://schemas.openxmlformats.org/officeDocument/2006/relationships/hyperlink" Target="https://orgws.kcg.gov.tw/001/KcgOrgUploadFiles/286/relfile/67106/113334/19bba7c7-971a-40d1-a274-5021929961b6.pdf" TargetMode="External"/><Relationship Id="rId240" Type="http://schemas.openxmlformats.org/officeDocument/2006/relationships/hyperlink" Target="https://orgws.kcg.gov.tw/001/KcgOrgUploadFiles/388/relfile/72843/183595/68a9ad1c-97d0-446b-a76a-2307fee69ff5.pdf" TargetMode="External"/><Relationship Id="rId181" Type="http://schemas.openxmlformats.org/officeDocument/2006/relationships/hyperlink" Target="https://philsa.gov.ph/journal/rapid-mapping-and-assessment-of-damages-due-to-typhoon-rai-using-sentinel-1-synthetic-aperture-radar-data/" TargetMode="External"/><Relationship Id="rId252" Type="http://schemas.openxmlformats.org/officeDocument/2006/relationships/hyperlink" Target="https://planetarycomputer.microsoft.com/catalog" TargetMode="External"/><Relationship Id="rId183" Type="http://schemas.openxmlformats.org/officeDocument/2006/relationships/hyperlink" Target="https://proceedings.neurips.cc/paper/2017/file/6449f44a102fde848669bdd9eb6b76fa-Paper.pdf" TargetMode="External"/><Relationship Id="rId207" Type="http://schemas.openxmlformats.org/officeDocument/2006/relationships/hyperlink" Target="https://rdnet.taichung.gov.tw/media/428383/61201875458.pdf" TargetMode="External"/><Relationship Id="rId182" Type="http://schemas.openxmlformats.org/officeDocument/2006/relationships/hyperlink" Target="https://research.hacettepe.edu.tr/en/publications/integration-of-multi-temporal-sentinel-1-and-sentinel-2-data-for-/" TargetMode="External"/><Relationship Id="rId180" Type="http://schemas.openxmlformats.org/officeDocument/2006/relationships/hyperlink" Target="https://research.utwente.nl/en/publications/understanding-wheat-lodging-using-multi-temporal-sentinel-1-and-s/" TargetMode="External"/><Relationship Id="rId175" Type="http://schemas.openxmlformats.org/officeDocument/2006/relationships/hyperlink" Target="https://scholars.ncu.edu.tw/en/publications/mapping-of-paddy-field-by-sentinel-1-sar-images-and-cadastre-data/" TargetMode="External"/><Relationship Id="rId187" Type="http://schemas.openxmlformats.org/officeDocument/2006/relationships/hyperlink" Target="https://science.nasa.gov/earth/earth-observatory/power-outages-after-hurricane-ian-150431/" TargetMode="External"/><Relationship Id="rId247" Type="http://schemas.openxmlformats.org/officeDocument/2006/relationships/hyperlink" Target="https://sentiwiki.copernicus.eu/web/s1-products" TargetMode="External"/><Relationship Id="rId188" Type="http://schemas.openxmlformats.org/officeDocument/2006/relationships/hyperlink" Target="https://space-economy.esa.int/documents/ESPI%20Impact%20Case%20Studies%20-%20AGEA_6a3a9e1358da1.pdf" TargetMode="External"/><Relationship Id="rId210" Type="http://schemas.openxmlformats.org/officeDocument/2006/relationships/hyperlink" Target="https://stacspec.org/en" TargetMode="External"/><Relationship Id="rId148" Type="http://schemas.openxmlformats.org/officeDocument/2006/relationships/hyperlink" Target="https://static.pib.gov.in/WriteReadData/specificdocs/documents/2025/feb/doc2025217504301.pdf" TargetMode="External"/><Relationship Id="rId161" Type="http://schemas.openxmlformats.org/officeDocument/2006/relationships/hyperlink" Target="https://tsps.chc.edu.tw/storage/074691/open_files/11&#26371;&#35336;&#23460;/&#27861;&#20196;&#35215;&#31456;/&#22283;&#20839;&#20986;&#24046;&#26053;&#36027;/1130523&#34892;&#25919;&#38498;&#20462;&#27491;&#22283;&#20839;&#20986;&#24046;&#26053;&#36027;&#22577;&#25903;&#35201;&#40670;&#37096;&#20998;&#35215;&#23450;(1140101&#29983;&#25928;)/1130523&#22283;&#20839;&#20986;&#24046;&#26053;&#36027;&#37096;&#20998;&#35215;&#23450;&#20462;&#27491;&#23565;&#29031;%20&#34920;.pdf" TargetMode="External"/><Relationship Id="rId146" Type="http://schemas.openxmlformats.org/officeDocument/2006/relationships/hyperlink" Target="https://tu-dresden.de/bu/umwelt/geo/ipf/envrs/die-professur/news/project-successfully-completed-new-satellite-monitor-supports-the-monitoring-of-permanent-pastures" TargetMode="External"/><Relationship Id="rId139" Type="http://schemas.openxmlformats.org/officeDocument/2006/relationships/hyperlink" Target="https://udn.com/news/story/7266/9222420" TargetMode="External"/><Relationship Id="rId143" Type="http://schemas.openxmlformats.org/officeDocument/2006/relationships/hyperlink" Target="https://udn.com/news/story/7266/9227232" TargetMode="External"/><Relationship Id="rId205" Type="http://schemas.openxmlformats.org/officeDocument/2006/relationships/hyperlink" Target="https://udn.com/news/story/7326/9569329" TargetMode="External"/><Relationship Id="rId216" Type="http://schemas.openxmlformats.org/officeDocument/2006/relationships/hyperlink" Target="https://upstash.com/blog/aws-s3-pricing-explained-2026" TargetMode="External"/><Relationship Id="rId186" Type="http://schemas.openxmlformats.org/officeDocument/2006/relationships/hyperlink" Target="https://viirsland.gsfc.nasa.gov/Products/NASA/BlackMarble.html" TargetMode="External"/><Relationship Id="rId140" Type="http://schemas.openxmlformats.org/officeDocument/2006/relationships/hyperlink" Target="https://wantrich.chinatimes.com/news/20250712900079-420501" TargetMode="External"/><Relationship Id="rId170" Type="http://schemas.openxmlformats.org/officeDocument/2006/relationships/hyperlink" Target="https://wantrich.chinatimes.com/news/20251114900646-420501" TargetMode="External"/><Relationship Id="rId229" Type="http://schemas.openxmlformats.org/officeDocument/2006/relationships/hyperlink" Target="https://ws.moi.gov.tw/001/Upload/OldFile_NLSC/uploadfile/1070301/1070301%E6%B5%81%E9%80%9A%E4%BD%9C%E6%A5%AD%E8%A6%81%E9%BB%9E_%E9%99%84%E8%A1%A8%E5%85%AD_%E5%9C%B0%E7%B1%8D%E5%9C%96%E6%AA%94%E7%94%B3%E8%AB%8B%E6%9B%B8.pdf" TargetMode="External"/><Relationship Id="rId225" Type="http://schemas.openxmlformats.org/officeDocument/2006/relationships/hyperlink" Target="https://ws.ndc.gov.tw/001/administrator/30/laws/4/1e71c611-d58c-4ff4-8d1e-405987f5a5e4.pdf" TargetMode="External"/><Relationship Id="rId118" Type="http://schemas.openxmlformats.org/officeDocument/2006/relationships/hyperlink" Target="https://www-api.moda.gov.tw/File/Get/adi/zh-tw/dmERorpZDr3Njtl" TargetMode="External"/><Relationship Id="rId213" Type="http://schemas.openxmlformats.org/officeDocument/2006/relationships/hyperlink" Target="https://www.1111.com.tw/news/jobns/164013" TargetMode="External"/><Relationship Id="rId156" Type="http://schemas.openxmlformats.org/officeDocument/2006/relationships/hyperlink" Target="https://www.airitilibrary.com/Publication/Index/U0002-2707201110231500" TargetMode="External"/><Relationship Id="rId238" Type="http://schemas.openxmlformats.org/officeDocument/2006/relationships/hyperlink" Target="https://www.bali.ntpc.gov.tw/userfiles/3180200/files/37517-%E8%A8%82%E7%AB%8B%E6%88%96%E6%8F%9B%E8%A8%82%E7%99%BB%E8%A8%98.pdf" TargetMode="External"/><Relationship Id="rId164" Type="http://schemas.openxmlformats.org/officeDocument/2006/relationships/hyperlink" Target="https://www.cna.com.tw/news/ahel/202507210050.aspx" TargetMode="External"/><Relationship Id="rId131" Type="http://schemas.openxmlformats.org/officeDocument/2006/relationships/hyperlink" Target="https://www.cna.com.tw/news/aipl/202407310233.aspx" TargetMode="External"/><Relationship Id="rId230" Type="http://schemas.openxmlformats.org/officeDocument/2006/relationships/hyperlink" Target="https://www.cna.com.tw/news/ait/202610150339.aspx" TargetMode="External"/><Relationship Id="rId206" Type="http://schemas.openxmlformats.org/officeDocument/2006/relationships/hyperlink" Target="https://www.cna.com.tw/news/aloc/202101140060.aspx" TargetMode="External"/><Relationship Id="rId253" Type="http://schemas.openxmlformats.org/officeDocument/2006/relationships/hyperlink" Target="https://www.cna.com.tw/news/asoc/202507070072.aspx" TargetMode="External"/><Relationship Id="rId128" Type="http://schemas.openxmlformats.org/officeDocument/2006/relationships/hyperlink" Target="https://www.cna.com.tw/postwrite/chi/438842" TargetMode="External"/><Relationship Id="rId231" Type="http://schemas.openxmlformats.org/officeDocument/2006/relationships/hyperlink" Target="https://www.cool3c.com/article/170592" TargetMode="External"/><Relationship Id="rId133" Type="http://schemas.openxmlformats.org/officeDocument/2006/relationships/hyperlink" Target="https://www.ctee.com.tw/news/20250716702140-431401" TargetMode="External"/><Relationship Id="rId165" Type="http://schemas.openxmlformats.org/officeDocument/2006/relationships/hyperlink" Target="https://www.ctee.com.tw/news/20250905701005-431401" TargetMode="External"/><Relationship Id="rId194" Type="http://schemas.openxmlformats.org/officeDocument/2006/relationships/hyperlink" Target="https://www.ctee.com.tw/news/20260211701988-431401" TargetMode="External"/><Relationship Id="rId135" Type="http://schemas.openxmlformats.org/officeDocument/2006/relationships/hyperlink" Target="https://www.ctee.com.tw/news/20260324701965-431401" TargetMode="External"/><Relationship Id="rId158" Type="http://schemas.openxmlformats.org/officeDocument/2006/relationships/hyperlink" Target="https://www.dadu.taichung.gov.tw/media/1268844/02070&#33274;&#20013;&#24066;&#22823;&#32922;&#21312;&#20844;&#25152;&#21934;&#20301;&#38928;&#31639;-&#19978;&#20659;&#23448;&#32178;&#29256;-1-71-&#20462;.pdf" TargetMode="External"/><Relationship Id="rId189" Type="http://schemas.openxmlformats.org/officeDocument/2006/relationships/hyperlink" Target="https://www.esa.int/Our_Activities/Observing_the_Earth/Copernicus/Sentinel-1/Sentinel-1_speeds_up_crop_insurance_payouts" TargetMode="External"/><Relationship Id="rId142" Type="http://schemas.openxmlformats.org/officeDocument/2006/relationships/hyperlink" Target="https://www.ey.gov.tw/Page/9277F759E41CCD91//33227d4a-9a06-4391-9abb-578a72c378ce" TargetMode="External"/><Relationship Id="rId149" Type="http://schemas.openxmlformats.org/officeDocument/2006/relationships/hyperlink" Target="https://www.floodbase.com/" TargetMode="External"/><Relationship Id="rId144" Type="http://schemas.openxmlformats.org/officeDocument/2006/relationships/hyperlink" Target="https://www.gov.ie/ga/an-roinn-talmha%C3%ADochta-bia-agus-mara/foilseachain/area-monitoring-system-ams" TargetMode="External"/><Relationship Id="rId220" Type="http://schemas.openxmlformats.org/officeDocument/2006/relationships/hyperlink" Target="https://www.gvm.com.tw/article/21160" TargetMode="External"/><Relationship Id="rId162" Type="http://schemas.openxmlformats.org/officeDocument/2006/relationships/hyperlink" Target="https://www.hfengyuan.taichung.gov.tw/media/1113520/&#21508;&#27231;&#38364;&#21152;&#29677;&#36027;&#25903;&#32102;&#36774;&#27861;&#33287;&#23526;&#21209;&#26696;&#20363;.pdf" TargetMode="External"/><Relationship Id="rId251" Type="http://schemas.openxmlformats.org/officeDocument/2006/relationships/hyperlink" Target="https://www.hl.gov.tw/News_Content.aspx?n=32725&amp;s=194465" TargetMode="External"/><Relationship Id="rId209" Type="http://schemas.openxmlformats.org/officeDocument/2006/relationships/hyperlink" Target="https://www.inside.com.tw/article/36904-taiwan-mobile-validates-space-base-station-marks-taiwans-first-successful-direct-satellite-to-phone-test" TargetMode="External"/><Relationship Id="rId208" Type="http://schemas.openxmlformats.org/officeDocument/2006/relationships/hyperlink" Target="https://www.ithome.com.tw/news/163833" TargetMode="External"/><Relationship Id="rId121" Type="http://schemas.openxmlformats.org/officeDocument/2006/relationships/hyperlink" Target="https://www.ithome.com.tw/news/179527" TargetMode="External"/><Relationship Id="rId199" Type="http://schemas.openxmlformats.org/officeDocument/2006/relationships/hyperlink" Target="https://www.laws.taipei.gov.tw/lawatt/Law/A040270041026600-20230529-4000-001.pdf" TargetMode="External"/><Relationship Id="rId152" Type="http://schemas.openxmlformats.org/officeDocument/2006/relationships/hyperlink" Target="https://www.moa.gov.tw/office_epaper/epaper/infoexplorer/online/52/content_1.html" TargetMode="External"/><Relationship Id="rId245" Type="http://schemas.openxmlformats.org/officeDocument/2006/relationships/hyperlink" Target="https://www.moa.gov.tw/office_epaper/epaper/infoexplorer/online/66/content_2.html" TargetMode="External"/><Relationship Id="rId138" Type="http://schemas.openxmlformats.org/officeDocument/2006/relationships/hyperlink" Target="https://www.moa.gov.tw/office_epaper/epaper/infoexplorer/online/71/content_2.html" TargetMode="External"/><Relationship Id="rId169" Type="http://schemas.openxmlformats.org/officeDocument/2006/relationships/hyperlink" Target="https://www.moa.gov.tw/redirect_files.php?id=57397" TargetMode="External"/><Relationship Id="rId167" Type="http://schemas.openxmlformats.org/officeDocument/2006/relationships/hyperlink" Target="https://www.moa.gov.tw/redirect_files.php?id=58194" TargetMode="External"/><Relationship Id="rId168" Type="http://schemas.openxmlformats.org/officeDocument/2006/relationships/hyperlink" Target="https://www.moa.gov.tw/theme_data.php?id=9863&amp;sub_theme=agri&amp;theme=news" TargetMode="External"/><Relationship Id="rId166" Type="http://schemas.openxmlformats.org/officeDocument/2006/relationships/hyperlink" Target="https://www.moa.gov.tw/theme_data.php?theme=news&amp;sub_theme=agri&amp;id=9818" TargetMode="External"/><Relationship Id="rId248" Type="http://schemas.openxmlformats.org/officeDocument/2006/relationships/hyperlink" Target="https://www.moa.gov.tw/ws.php?id=17643" TargetMode="External"/><Relationship Id="rId198" Type="http://schemas.openxmlformats.org/officeDocument/2006/relationships/hyperlink" Target="https://www.moa.gov.tw/ws.php?id=2502563" TargetMode="External"/><Relationship Id="rId119" Type="http://schemas.openxmlformats.org/officeDocument/2006/relationships/hyperlink" Target="https://www.moa.gov.tw/ws.php?id=2504685" TargetMode="External"/><Relationship Id="rId196" Type="http://schemas.openxmlformats.org/officeDocument/2006/relationships/hyperlink" Target="https://www.moa.gov.tw/ws.php?id=2508388" TargetMode="External"/><Relationship Id="rId136" Type="http://schemas.openxmlformats.org/officeDocument/2006/relationships/hyperlink" Target="https://www.moa.gov.tw/ws.php?id=2513431" TargetMode="External"/><Relationship Id="rId129" Type="http://schemas.openxmlformats.org/officeDocument/2006/relationships/hyperlink" Target="https://www.moa.gov.tw/ws.php?id=2513662" TargetMode="External"/><Relationship Id="rId134" Type="http://schemas.openxmlformats.org/officeDocument/2006/relationships/hyperlink" Target="https://www.moa.gov.tw/ws.php?id=2516696" TargetMode="External"/><Relationship Id="rId221" Type="http://schemas.openxmlformats.org/officeDocument/2006/relationships/hyperlink" Target="https://www.moa.gov.tw/ws.php?id=2517236" TargetMode="External"/><Relationship Id="rId171" Type="http://schemas.openxmlformats.org/officeDocument/2006/relationships/hyperlink" Target="https://www.moa.gov.tw/ws.php?id=2517258" TargetMode="External"/><Relationship Id="rId137" Type="http://schemas.openxmlformats.org/officeDocument/2006/relationships/hyperlink" Target="https://www.moa.gov.tw/ws.php?id=2517321" TargetMode="External"/><Relationship Id="rId151" Type="http://schemas.openxmlformats.org/officeDocument/2006/relationships/hyperlink" Target="https://www.nlma.gov.tw/uploads/files/2e4ec854d5c7c1b8fb5e64879ec71385.pdf" TargetMode="External"/><Relationship Id="rId235" Type="http://schemas.openxmlformats.org/officeDocument/2006/relationships/hyperlink" Target="https://www.nlsc.gov.tw/News_Toggle.aspx?n=1564&amp;sms=9708&amp;_CSN=2033" TargetMode="External"/><Relationship Id="rId227" Type="http://schemas.openxmlformats.org/officeDocument/2006/relationships/hyperlink" Target="https://www.nlsc.gov.tw/cl.aspx?n=1546" TargetMode="External"/><Relationship Id="rId228" Type="http://schemas.openxmlformats.org/officeDocument/2006/relationships/hyperlink" Target="https://www.nlsc.gov.tw/cp.aspx?n=1550" TargetMode="External"/><Relationship Id="rId157" Type="http://schemas.openxmlformats.org/officeDocument/2006/relationships/hyperlink" Target="https://www.planet.com/industries/government/agriculture-monitoring/cap" TargetMode="External"/><Relationship Id="rId218" Type="http://schemas.openxmlformats.org/officeDocument/2006/relationships/hyperlink" Target="https://www.pro360.com.tw/price/aerial_photography" TargetMode="External"/><Relationship Id="rId224" Type="http://schemas.openxmlformats.org/officeDocument/2006/relationships/hyperlink" Target="https://www.rootlaw.com.tw/Attach/S-Doc/02211506300081-001.pdf" TargetMode="External"/><Relationship Id="rId153" Type="http://schemas.openxmlformats.org/officeDocument/2006/relationships/hyperlink" Target="https://www.taiwannews.com.tw/news/5954502" TargetMode="External"/><Relationship Id="rId150" Type="http://schemas.openxmlformats.org/officeDocument/2006/relationships/hyperlink" Target="https://www.taiwannews.com.tw/zh/news/3769456" TargetMode="External"/><Relationship Id="rId232" Type="http://schemas.openxmlformats.org/officeDocument/2006/relationships/hyperlink" Target="https://www.tasa.org.tw/zh-TW/service-and-tech/formosat-images/purchase" TargetMode="External"/><Relationship Id="rId211" Type="http://schemas.openxmlformats.org/officeDocument/2006/relationships/hyperlink" Target="https://www.w3.org/TR/prov-overview/" TargetMode="External"/><Relationship Id="rId201" Type="http://schemas.openxmlformats.org/officeDocument/2006/relationships/hyperlink" Target="https://www.zhongli-land.tycg.gov.tw/cp.aspx?n=5546" TargetMode="External"/></Relationships>
</file>

<file path=word/_rels/footnotes.xml.rels><?xml version='1.0' encoding='UTF-8' standalone='yes'?>
<Relationships xmlns="http://schemas.openxmlformats.org/package/2006/relationships"><Relationship Id="rId155" Type="http://schemas.openxmlformats.org/officeDocument/2006/relationships/hyperlink" Target="https://6laws.net/6law/law/&#36786;&#26989;&#20445;&#38570;&#27861;.htm" TargetMode="External"/><Relationship Id="rId197" Type="http://schemas.openxmlformats.org/officeDocument/2006/relationships/hyperlink" Target="https://6laws.net/6law/law3/&#36786;&#26989;&#22825;&#28982;&#28797;&#23475;&#25937;&#21161;&#36774;&#27861;.htm" TargetMode="External"/><Relationship Id="rId192" Type="http://schemas.openxmlformats.org/officeDocument/2006/relationships/hyperlink" Target="https://ads.atmosphere.copernicus.eu/licences/ec-sentinel" TargetMode="External"/><Relationship Id="rId145" Type="http://schemas.openxmlformats.org/officeDocument/2006/relationships/hyperlink" Target="https://agriland.ie/farming-news/3165-farmers-receive-satellite-inspections-notifications-dafm" TargetMode="External"/><Relationship Id="rId185" Type="http://schemas.openxmlformats.org/officeDocument/2006/relationships/hyperlink" Target="https://agris.fao.org/search/en/records/65df666f6eef00c2cea29e19" TargetMode="External"/><Relationship Id="rId174" Type="http://schemas.openxmlformats.org/officeDocument/2006/relationships/hyperlink" Target="https://arxiv.org/abs/1905.11893" TargetMode="External"/><Relationship Id="rId178" Type="http://schemas.openxmlformats.org/officeDocument/2006/relationships/hyperlink" Target="https://arxiv.org/abs/2310.18660" TargetMode="External"/><Relationship Id="rId215" Type="http://schemas.openxmlformats.org/officeDocument/2006/relationships/hyperlink" Target="https://cloud.google.com/products/compute/pricing/accelerator-optimized?hl=en" TargetMode="External"/><Relationship Id="rId159" Type="http://schemas.openxmlformats.org/officeDocument/2006/relationships/hyperlink" Target="https://cybsbox.cy.gov.tw/CYBSBoxSSL/edoc/download/61399" TargetMode="External"/><Relationship Id="rId244" Type="http://schemas.openxmlformats.org/officeDocument/2006/relationships/hyperlink" Target="https://cybsbox.cy.gov.tw/CYBSBoxSSL/edoc/download/72430" TargetMode="External"/><Relationship Id="rId160" Type="http://schemas.openxmlformats.org/officeDocument/2006/relationships/hyperlink" Target="https://cybsbox.cy.gov.tw/CYBSBoxSSL/edoc/download/72762" TargetMode="External"/><Relationship Id="rId190" Type="http://schemas.openxmlformats.org/officeDocument/2006/relationships/hyperlink" Target="https://dataspace.copernicus.eu/node/3176" TargetMode="External"/><Relationship Id="rId193" Type="http://schemas.openxmlformats.org/officeDocument/2006/relationships/hyperlink" Target="https://developers.google.com/earth-engine/datasets/catalog/GOOGLE_CLOUD_SCORE_PLUS_V1_S2_HARMONIZED" TargetMode="External"/><Relationship Id="rId219" Type="http://schemas.openxmlformats.org/officeDocument/2006/relationships/hyperlink" Target="https://dji.com/phantom-4-rtk/info" TargetMode="External"/><Relationship Id="rId173" Type="http://schemas.openxmlformats.org/officeDocument/2006/relationships/hyperlink" Target="https://doaj.org/article/103f5e1094994facba05434cdd914e81" TargetMode="External"/><Relationship Id="rId191" Type="http://schemas.openxmlformats.org/officeDocument/2006/relationships/hyperlink" Target="https://docs.planet.com/data/public-data/copernicus/sentinel-2" TargetMode="External"/><Relationship Id="rId237" Type="http://schemas.openxmlformats.org/officeDocument/2006/relationships/hyperlink" Target="https://dsland.land.taichung.gov.tw/archive/79/file/%E5%90%84%E9%A0%85%E7%94%B3%E8%AB%8B%E9%A0%88%E7%9F%A5/%E5%9C%9F%E5%9C%B0%E9%91%91%E7%95%8C%E8%A4%87%E4%B8%88%E7%94%B3%E8%AB%8B%E9%A0%88%E7%9F%A5.pdf" TargetMode="External"/><Relationship Id="rId147" Type="http://schemas.openxmlformats.org/officeDocument/2006/relationships/hyperlink" Target="https://emergency.copernicus.eu/EMSR284" TargetMode="External"/><Relationship Id="rId154" Type="http://schemas.openxmlformats.org/officeDocument/2006/relationships/hyperlink" Target="https://etds.lib.ntnu.edu.tw/thesis/detail/3e4c7c8580d9657c296743fe6a8cdfbe" TargetMode="External"/><Relationship Id="rId177" Type="http://schemas.openxmlformats.org/officeDocument/2006/relationships/hyperlink" Target="https://european-flood.emergency.copernicus.eu/sites/default/files/AM/AM2022/1-3_GFM_ensemble%20_flood_product_v1.pdf" TargetMode="External"/><Relationship Id="rId120" Type="http://schemas.openxmlformats.org/officeDocument/2006/relationships/hyperlink" Target="https://files.chcg.gov.tw/files/71_20250502104232659_&#36786;&#26989;&#37096;%20&#20844;&#21578;.pdf" TargetMode="External"/><Relationship Id="rId214" Type="http://schemas.openxmlformats.org/officeDocument/2006/relationships/hyperlink" Target="https://finance.technews.tw/2026/02/11/2025-salary-47884ntd/" TargetMode="External"/><Relationship Id="rId250" Type="http://schemas.openxmlformats.org/officeDocument/2006/relationships/hyperlink" Target="https://flland.hl.gov.tw/News_Content.aspx?n=3231&amp;s=20735" TargetMode="External"/><Relationship Id="rId246" Type="http://schemas.openxmlformats.org/officeDocument/2006/relationships/hyperlink" Target="https://gazette.nat.gov.tw/EG_FileManager/eguploadpub/eg031071/ch07/type3/gov88/num27/Eg.pdf" TargetMode="External"/><Relationship Id="rId241" Type="http://schemas.openxmlformats.org/officeDocument/2006/relationships/hyperlink" Target="https://kmweb.moa.gov.tw/files/knowledge_discuss/42914/A02_1.pdf" TargetMode="External"/><Relationship Id="rId217" Type="http://schemas.openxmlformats.org/officeDocument/2006/relationships/hyperlink" Target="https://landinfo.com/satellite-imagery-pricing.html" TargetMode="External"/><Relationship Id="rId249" Type="http://schemas.openxmlformats.org/officeDocument/2006/relationships/hyperlink" Target="https://law.afna.gov.tw/files/boaf/law/50/A01_7.pdf" TargetMode="External"/><Relationship Id="rId223" Type="http://schemas.openxmlformats.org/officeDocument/2006/relationships/hyperlink" Target="https://law.moa.gov.tw/LawContent.aspx?id=GL000268" TargetMode="External"/><Relationship Id="rId222" Type="http://schemas.openxmlformats.org/officeDocument/2006/relationships/hyperlink" Target="https://law.moj.gov.tw/LawClass/LawAll.aspx?pcode=M0090019" TargetMode="External"/><Relationship Id="rId234" Type="http://schemas.openxmlformats.org/officeDocument/2006/relationships/hyperlink" Target="https://laws.gov.taipei/law/Interpretation/ContentExport/FE259189?type=5" TargetMode="External"/><Relationship Id="rId226" Type="http://schemas.openxmlformats.org/officeDocument/2006/relationships/hyperlink" Target="https://laws.gov.taipei/law/LawSearch/LawExport/FL088622?type=2" TargetMode="External"/><Relationship Id="rId233" Type="http://schemas.openxmlformats.org/officeDocument/2006/relationships/hyperlink" Target="https://laws.gov.taipei/law/LawSearch/LawPrint/FL003036?type=0" TargetMode="External"/><Relationship Id="rId236" Type="http://schemas.openxmlformats.org/officeDocument/2006/relationships/hyperlink" Target="https://maps.nlsc.gov.tw/S09SOA/homePage.action?Language=ZH" TargetMode="External"/><Relationship Id="rId179" Type="http://schemas.openxmlformats.org/officeDocument/2006/relationships/hyperlink" Target="https://mdpi-res.com/d_attachment/remotesensing/remotesensing-12-03885/article_deploy/remotesensing-12-03885.pdf" TargetMode="External"/><Relationship Id="rId200" Type="http://schemas.openxmlformats.org/officeDocument/2006/relationships/hyperlink" Target="https://money.udn.com/money/story/5621/9459787" TargetMode="External"/><Relationship Id="rId126" Type="http://schemas.openxmlformats.org/officeDocument/2006/relationships/hyperlink" Target="https://money.udn.com/money/story/7307/8942243" TargetMode="External"/><Relationship Id="rId163" Type="http://schemas.openxmlformats.org/officeDocument/2006/relationships/hyperlink" Target="https://money.udn.com/money/story/7307/9066040" TargetMode="External"/><Relationship Id="rId243" Type="http://schemas.openxmlformats.org/officeDocument/2006/relationships/hyperlink" Target="https://money.udn.com/money/story/7307/9240827" TargetMode="External"/><Relationship Id="rId127" Type="http://schemas.openxmlformats.org/officeDocument/2006/relationships/hyperlink" Target="https://news.ltn.com.tw/amp/news/life/breakingnews/5486893" TargetMode="External"/><Relationship Id="rId212" Type="http://schemas.openxmlformats.org/officeDocument/2006/relationships/hyperlink" Target="https://news.ltn.com.tw/news/Taitung/breakingnews/5012857" TargetMode="External"/><Relationship Id="rId172" Type="http://schemas.openxmlformats.org/officeDocument/2006/relationships/hyperlink" Target="https://news.ltn.com.tw/news/life/breakingnews/5490839" TargetMode="External"/><Relationship Id="rId124" Type="http://schemas.openxmlformats.org/officeDocument/2006/relationships/hyperlink" Target="https://news.ltn.com.tw/news/life/paper/1719891" TargetMode="External"/><Relationship Id="rId130" Type="http://schemas.openxmlformats.org/officeDocument/2006/relationships/hyperlink" Target="https://news.pts.org.tw/article/390063" TargetMode="External"/><Relationship Id="rId125" Type="http://schemas.openxmlformats.org/officeDocument/2006/relationships/hyperlink" Target="https://news.pts.org.tw/article/639374" TargetMode="External"/><Relationship Id="rId203" Type="http://schemas.openxmlformats.org/officeDocument/2006/relationships/hyperlink" Target="https://news.pts.org.tw/article/761566" TargetMode="External"/><Relationship Id="rId122" Type="http://schemas.openxmlformats.org/officeDocument/2006/relationships/hyperlink" Target="https://news.pts.org.tw/article/761774" TargetMode="External"/><Relationship Id="rId204" Type="http://schemas.openxmlformats.org/officeDocument/2006/relationships/hyperlink" Target="https://news.pts.org.tw/article/766684" TargetMode="External"/><Relationship Id="rId141" Type="http://schemas.openxmlformats.org/officeDocument/2006/relationships/hyperlink" Target="https://news.pts.org.tw/article/794885" TargetMode="External"/><Relationship Id="rId195" Type="http://schemas.openxmlformats.org/officeDocument/2006/relationships/hyperlink" Target="https://news.pts.org.tw/article/808282" TargetMode="External"/><Relationship Id="rId132" Type="http://schemas.openxmlformats.org/officeDocument/2006/relationships/hyperlink" Target="https://newtalk.tw/news/view/2024-10-07/939291" TargetMode="External"/><Relationship Id="rId123" Type="http://schemas.openxmlformats.org/officeDocument/2006/relationships/hyperlink" Target="https://newtalk.tw/news/view/2025-07-08/980593" TargetMode="External"/><Relationship Id="rId176" Type="http://schemas.openxmlformats.org/officeDocument/2006/relationships/hyperlink" Target="https://openaccess.thecvf.com/content_CVPRW_2020/papers/w11/Bonafilia_Sen1Floods11_A_Georeferenced_Dataset_to_Train_and_Test_Deep_Learning_CVPRW_2020_paper.pdf" TargetMode="External"/><Relationship Id="rId184" Type="http://schemas.openxmlformats.org/officeDocument/2006/relationships/hyperlink" Target="https://opus.bibliothek.uni-wuerzburg.de/files/25220/remotesensing-14-00153.pdf" TargetMode="External"/><Relationship Id="rId242" Type="http://schemas.openxmlformats.org/officeDocument/2006/relationships/hyperlink" Target="https://orgws.kcg.gov.tw/001/KcgOrgUploadFiles/273/relfile/67250/458674/1e5de251-13a6-44a7-9ef8-d45c041ac5d9.pdf" TargetMode="External"/><Relationship Id="rId202" Type="http://schemas.openxmlformats.org/officeDocument/2006/relationships/hyperlink" Target="https://orgws.kcg.gov.tw/001/KcgOrgUploadFiles/281/relfile/66796/268311/9e27b851-9c14-443f-9152-fb83bdab7677.pdf" TargetMode="External"/><Relationship Id="rId239" Type="http://schemas.openxmlformats.org/officeDocument/2006/relationships/hyperlink" Target="https://orgws.kcg.gov.tw/001/KcgOrgUploadFiles/286/relfile/67106/113334/19bba7c7-971a-40d1-a274-5021929961b6.pdf" TargetMode="External"/><Relationship Id="rId240" Type="http://schemas.openxmlformats.org/officeDocument/2006/relationships/hyperlink" Target="https://orgws.kcg.gov.tw/001/KcgOrgUploadFiles/388/relfile/72843/183595/68a9ad1c-97d0-446b-a76a-2307fee69ff5.pdf" TargetMode="External"/><Relationship Id="rId181" Type="http://schemas.openxmlformats.org/officeDocument/2006/relationships/hyperlink" Target="https://philsa.gov.ph/journal/rapid-mapping-and-assessment-of-damages-due-to-typhoon-rai-using-sentinel-1-synthetic-aperture-radar-data/" TargetMode="External"/><Relationship Id="rId252" Type="http://schemas.openxmlformats.org/officeDocument/2006/relationships/hyperlink" Target="https://planetarycomputer.microsoft.com/catalog" TargetMode="External"/><Relationship Id="rId183" Type="http://schemas.openxmlformats.org/officeDocument/2006/relationships/hyperlink" Target="https://proceedings.neurips.cc/paper/2017/file/6449f44a102fde848669bdd9eb6b76fa-Paper.pdf" TargetMode="External"/><Relationship Id="rId207" Type="http://schemas.openxmlformats.org/officeDocument/2006/relationships/hyperlink" Target="https://rdnet.taichung.gov.tw/media/428383/61201875458.pdf" TargetMode="External"/><Relationship Id="rId182" Type="http://schemas.openxmlformats.org/officeDocument/2006/relationships/hyperlink" Target="https://research.hacettepe.edu.tr/en/publications/integration-of-multi-temporal-sentinel-1-and-sentinel-2-data-for-/" TargetMode="External"/><Relationship Id="rId180" Type="http://schemas.openxmlformats.org/officeDocument/2006/relationships/hyperlink" Target="https://research.utwente.nl/en/publications/understanding-wheat-lodging-using-multi-temporal-sentinel-1-and-s/" TargetMode="External"/><Relationship Id="rId175" Type="http://schemas.openxmlformats.org/officeDocument/2006/relationships/hyperlink" Target="https://scholars.ncu.edu.tw/en/publications/mapping-of-paddy-field-by-sentinel-1-sar-images-and-cadastre-data/" TargetMode="External"/><Relationship Id="rId187" Type="http://schemas.openxmlformats.org/officeDocument/2006/relationships/hyperlink" Target="https://science.nasa.gov/earth/earth-observatory/power-outages-after-hurricane-ian-150431/" TargetMode="External"/><Relationship Id="rId247" Type="http://schemas.openxmlformats.org/officeDocument/2006/relationships/hyperlink" Target="https://sentiwiki.copernicus.eu/web/s1-products" TargetMode="External"/><Relationship Id="rId188" Type="http://schemas.openxmlformats.org/officeDocument/2006/relationships/hyperlink" Target="https://space-economy.esa.int/documents/ESPI%20Impact%20Case%20Studies%20-%20AGEA_6a3a9e1358da1.pdf" TargetMode="External"/><Relationship Id="rId210" Type="http://schemas.openxmlformats.org/officeDocument/2006/relationships/hyperlink" Target="https://stacspec.org/en" TargetMode="External"/><Relationship Id="rId148" Type="http://schemas.openxmlformats.org/officeDocument/2006/relationships/hyperlink" Target="https://static.pib.gov.in/WriteReadData/specificdocs/documents/2025/feb/doc2025217504301.pdf" TargetMode="External"/><Relationship Id="rId161" Type="http://schemas.openxmlformats.org/officeDocument/2006/relationships/hyperlink" Target="https://tsps.chc.edu.tw/storage/074691/open_files/11&#26371;&#35336;&#23460;/&#27861;&#20196;&#35215;&#31456;/&#22283;&#20839;&#20986;&#24046;&#26053;&#36027;/1130523&#34892;&#25919;&#38498;&#20462;&#27491;&#22283;&#20839;&#20986;&#24046;&#26053;&#36027;&#22577;&#25903;&#35201;&#40670;&#37096;&#20998;&#35215;&#23450;(1140101&#29983;&#25928;)/1130523&#22283;&#20839;&#20986;&#24046;&#26053;&#36027;&#37096;&#20998;&#35215;&#23450;&#20462;&#27491;&#23565;&#29031;%20&#34920;.pdf" TargetMode="External"/><Relationship Id="rId146" Type="http://schemas.openxmlformats.org/officeDocument/2006/relationships/hyperlink" Target="https://tu-dresden.de/bu/umwelt/geo/ipf/envrs/die-professur/news/project-successfully-completed-new-satellite-monitor-supports-the-monitoring-of-permanent-pastures" TargetMode="External"/><Relationship Id="rId139" Type="http://schemas.openxmlformats.org/officeDocument/2006/relationships/hyperlink" Target="https://udn.com/news/story/7266/9222420" TargetMode="External"/><Relationship Id="rId143" Type="http://schemas.openxmlformats.org/officeDocument/2006/relationships/hyperlink" Target="https://udn.com/news/story/7266/9227232" TargetMode="External"/><Relationship Id="rId205" Type="http://schemas.openxmlformats.org/officeDocument/2006/relationships/hyperlink" Target="https://udn.com/news/story/7326/9569329" TargetMode="External"/><Relationship Id="rId216" Type="http://schemas.openxmlformats.org/officeDocument/2006/relationships/hyperlink" Target="https://upstash.com/blog/aws-s3-pricing-explained-2026" TargetMode="External"/><Relationship Id="rId186" Type="http://schemas.openxmlformats.org/officeDocument/2006/relationships/hyperlink" Target="https://viirsland.gsfc.nasa.gov/Products/NASA/BlackMarble.html" TargetMode="External"/><Relationship Id="rId140" Type="http://schemas.openxmlformats.org/officeDocument/2006/relationships/hyperlink" Target="https://wantrich.chinatimes.com/news/20250712900079-420501" TargetMode="External"/><Relationship Id="rId170" Type="http://schemas.openxmlformats.org/officeDocument/2006/relationships/hyperlink" Target="https://wantrich.chinatimes.com/news/20251114900646-420501" TargetMode="External"/><Relationship Id="rId229" Type="http://schemas.openxmlformats.org/officeDocument/2006/relationships/hyperlink" Target="https://ws.moi.gov.tw/001/Upload/OldFile_NLSC/uploadfile/1070301/1070301%E6%B5%81%E9%80%9A%E4%BD%9C%E6%A5%AD%E8%A6%81%E9%BB%9E_%E9%99%84%E8%A1%A8%E5%85%AD_%E5%9C%B0%E7%B1%8D%E5%9C%96%E6%AA%94%E7%94%B3%E8%AB%8B%E6%9B%B8.pdf" TargetMode="External"/><Relationship Id="rId225" Type="http://schemas.openxmlformats.org/officeDocument/2006/relationships/hyperlink" Target="https://ws.ndc.gov.tw/001/administrator/30/laws/4/1e71c611-d58c-4ff4-8d1e-405987f5a5e4.pdf" TargetMode="External"/><Relationship Id="rId118" Type="http://schemas.openxmlformats.org/officeDocument/2006/relationships/hyperlink" Target="https://www-api.moda.gov.tw/File/Get/adi/zh-tw/dmERorpZDr3Njtl" TargetMode="External"/><Relationship Id="rId213" Type="http://schemas.openxmlformats.org/officeDocument/2006/relationships/hyperlink" Target="https://www.1111.com.tw/news/jobns/164013" TargetMode="External"/><Relationship Id="rId156" Type="http://schemas.openxmlformats.org/officeDocument/2006/relationships/hyperlink" Target="https://www.airitilibrary.com/Publication/Index/U0002-2707201110231500" TargetMode="External"/><Relationship Id="rId238" Type="http://schemas.openxmlformats.org/officeDocument/2006/relationships/hyperlink" Target="https://www.bali.ntpc.gov.tw/userfiles/3180200/files/37517-%E8%A8%82%E7%AB%8B%E6%88%96%E6%8F%9B%E8%A8%82%E7%99%BB%E8%A8%98.pdf" TargetMode="External"/><Relationship Id="rId164" Type="http://schemas.openxmlformats.org/officeDocument/2006/relationships/hyperlink" Target="https://www.cna.com.tw/news/ahel/202507210050.aspx" TargetMode="External"/><Relationship Id="rId131" Type="http://schemas.openxmlformats.org/officeDocument/2006/relationships/hyperlink" Target="https://www.cna.com.tw/news/aipl/202407310233.aspx" TargetMode="External"/><Relationship Id="rId230" Type="http://schemas.openxmlformats.org/officeDocument/2006/relationships/hyperlink" Target="https://www.cna.com.tw/news/ait/202610150339.aspx" TargetMode="External"/><Relationship Id="rId206" Type="http://schemas.openxmlformats.org/officeDocument/2006/relationships/hyperlink" Target="https://www.cna.com.tw/news/aloc/202101140060.aspx" TargetMode="External"/><Relationship Id="rId253" Type="http://schemas.openxmlformats.org/officeDocument/2006/relationships/hyperlink" Target="https://www.cna.com.tw/news/asoc/202507070072.aspx" TargetMode="External"/><Relationship Id="rId128" Type="http://schemas.openxmlformats.org/officeDocument/2006/relationships/hyperlink" Target="https://www.cna.com.tw/postwrite/chi/438842" TargetMode="External"/><Relationship Id="rId231" Type="http://schemas.openxmlformats.org/officeDocument/2006/relationships/hyperlink" Target="https://www.cool3c.com/article/170592" TargetMode="External"/><Relationship Id="rId133" Type="http://schemas.openxmlformats.org/officeDocument/2006/relationships/hyperlink" Target="https://www.ctee.com.tw/news/20250716702140-431401" TargetMode="External"/><Relationship Id="rId165" Type="http://schemas.openxmlformats.org/officeDocument/2006/relationships/hyperlink" Target="https://www.ctee.com.tw/news/20250905701005-431401" TargetMode="External"/><Relationship Id="rId194" Type="http://schemas.openxmlformats.org/officeDocument/2006/relationships/hyperlink" Target="https://www.ctee.com.tw/news/20260211701988-431401" TargetMode="External"/><Relationship Id="rId135" Type="http://schemas.openxmlformats.org/officeDocument/2006/relationships/hyperlink" Target="https://www.ctee.com.tw/news/20260324701965-431401" TargetMode="External"/><Relationship Id="rId158" Type="http://schemas.openxmlformats.org/officeDocument/2006/relationships/hyperlink" Target="https://www.dadu.taichung.gov.tw/media/1268844/02070&#33274;&#20013;&#24066;&#22823;&#32922;&#21312;&#20844;&#25152;&#21934;&#20301;&#38928;&#31639;-&#19978;&#20659;&#23448;&#32178;&#29256;-1-71-&#20462;.pdf" TargetMode="External"/><Relationship Id="rId189" Type="http://schemas.openxmlformats.org/officeDocument/2006/relationships/hyperlink" Target="https://www.esa.int/Our_Activities/Observing_the_Earth/Copernicus/Sentinel-1/Sentinel-1_speeds_up_crop_insurance_payouts" TargetMode="External"/><Relationship Id="rId142" Type="http://schemas.openxmlformats.org/officeDocument/2006/relationships/hyperlink" Target="https://www.ey.gov.tw/Page/9277F759E41CCD91//33227d4a-9a06-4391-9abb-578a72c378ce" TargetMode="External"/><Relationship Id="rId149" Type="http://schemas.openxmlformats.org/officeDocument/2006/relationships/hyperlink" Target="https://www.floodbase.com/" TargetMode="External"/><Relationship Id="rId144" Type="http://schemas.openxmlformats.org/officeDocument/2006/relationships/hyperlink" Target="https://www.gov.ie/ga/an-roinn-talmha%C3%ADochta-bia-agus-mara/foilseachain/area-monitoring-system-ams" TargetMode="External"/><Relationship Id="rId220" Type="http://schemas.openxmlformats.org/officeDocument/2006/relationships/hyperlink" Target="https://www.gvm.com.tw/article/21160" TargetMode="External"/><Relationship Id="rId162" Type="http://schemas.openxmlformats.org/officeDocument/2006/relationships/hyperlink" Target="https://www.hfengyuan.taichung.gov.tw/media/1113520/&#21508;&#27231;&#38364;&#21152;&#29677;&#36027;&#25903;&#32102;&#36774;&#27861;&#33287;&#23526;&#21209;&#26696;&#20363;.pdf" TargetMode="External"/><Relationship Id="rId251" Type="http://schemas.openxmlformats.org/officeDocument/2006/relationships/hyperlink" Target="https://www.hl.gov.tw/News_Content.aspx?n=32725&amp;s=194465" TargetMode="External"/><Relationship Id="rId209" Type="http://schemas.openxmlformats.org/officeDocument/2006/relationships/hyperlink" Target="https://www.inside.com.tw/article/36904-taiwan-mobile-validates-space-base-station-marks-taiwans-first-successful-direct-satellite-to-phone-test" TargetMode="External"/><Relationship Id="rId208" Type="http://schemas.openxmlformats.org/officeDocument/2006/relationships/hyperlink" Target="https://www.ithome.com.tw/news/163833" TargetMode="External"/><Relationship Id="rId121" Type="http://schemas.openxmlformats.org/officeDocument/2006/relationships/hyperlink" Target="https://www.ithome.com.tw/news/179527" TargetMode="External"/><Relationship Id="rId199" Type="http://schemas.openxmlformats.org/officeDocument/2006/relationships/hyperlink" Target="https://www.laws.taipei.gov.tw/lawatt/Law/A040270041026600-20230529-4000-001.pdf" TargetMode="External"/><Relationship Id="rId152" Type="http://schemas.openxmlformats.org/officeDocument/2006/relationships/hyperlink" Target="https://www.moa.gov.tw/office_epaper/epaper/infoexplorer/online/52/content_1.html" TargetMode="External"/><Relationship Id="rId245" Type="http://schemas.openxmlformats.org/officeDocument/2006/relationships/hyperlink" Target="https://www.moa.gov.tw/office_epaper/epaper/infoexplorer/online/66/content_2.html" TargetMode="External"/><Relationship Id="rId138" Type="http://schemas.openxmlformats.org/officeDocument/2006/relationships/hyperlink" Target="https://www.moa.gov.tw/office_epaper/epaper/infoexplorer/online/71/content_2.html" TargetMode="External"/><Relationship Id="rId169" Type="http://schemas.openxmlformats.org/officeDocument/2006/relationships/hyperlink" Target="https://www.moa.gov.tw/redirect_files.php?id=57397" TargetMode="External"/><Relationship Id="rId167" Type="http://schemas.openxmlformats.org/officeDocument/2006/relationships/hyperlink" Target="https://www.moa.gov.tw/redirect_files.php?id=58194" TargetMode="External"/><Relationship Id="rId168" Type="http://schemas.openxmlformats.org/officeDocument/2006/relationships/hyperlink" Target="https://www.moa.gov.tw/theme_data.php?id=9863&amp;sub_theme=agri&amp;theme=news" TargetMode="External"/><Relationship Id="rId166" Type="http://schemas.openxmlformats.org/officeDocument/2006/relationships/hyperlink" Target="https://www.moa.gov.tw/theme_data.php?theme=news&amp;sub_theme=agri&amp;id=9818" TargetMode="External"/><Relationship Id="rId248" Type="http://schemas.openxmlformats.org/officeDocument/2006/relationships/hyperlink" Target="https://www.moa.gov.tw/ws.php?id=17643" TargetMode="External"/><Relationship Id="rId198" Type="http://schemas.openxmlformats.org/officeDocument/2006/relationships/hyperlink" Target="https://www.moa.gov.tw/ws.php?id=2502563" TargetMode="External"/><Relationship Id="rId119" Type="http://schemas.openxmlformats.org/officeDocument/2006/relationships/hyperlink" Target="https://www.moa.gov.tw/ws.php?id=2504685" TargetMode="External"/><Relationship Id="rId196" Type="http://schemas.openxmlformats.org/officeDocument/2006/relationships/hyperlink" Target="https://www.moa.gov.tw/ws.php?id=2508388" TargetMode="External"/><Relationship Id="rId136" Type="http://schemas.openxmlformats.org/officeDocument/2006/relationships/hyperlink" Target="https://www.moa.gov.tw/ws.php?id=2513431" TargetMode="External"/><Relationship Id="rId129" Type="http://schemas.openxmlformats.org/officeDocument/2006/relationships/hyperlink" Target="https://www.moa.gov.tw/ws.php?id=2513662" TargetMode="External"/><Relationship Id="rId134" Type="http://schemas.openxmlformats.org/officeDocument/2006/relationships/hyperlink" Target="https://www.moa.gov.tw/ws.php?id=2516696" TargetMode="External"/><Relationship Id="rId221" Type="http://schemas.openxmlformats.org/officeDocument/2006/relationships/hyperlink" Target="https://www.moa.gov.tw/ws.php?id=2517236" TargetMode="External"/><Relationship Id="rId171" Type="http://schemas.openxmlformats.org/officeDocument/2006/relationships/hyperlink" Target="https://www.moa.gov.tw/ws.php?id=2517258" TargetMode="External"/><Relationship Id="rId137" Type="http://schemas.openxmlformats.org/officeDocument/2006/relationships/hyperlink" Target="https://www.moa.gov.tw/ws.php?id=2517321" TargetMode="External"/><Relationship Id="rId151" Type="http://schemas.openxmlformats.org/officeDocument/2006/relationships/hyperlink" Target="https://www.nlma.gov.tw/uploads/files/2e4ec854d5c7c1b8fb5e64879ec71385.pdf" TargetMode="External"/><Relationship Id="rId235" Type="http://schemas.openxmlformats.org/officeDocument/2006/relationships/hyperlink" Target="https://www.nlsc.gov.tw/News_Toggle.aspx?n=1564&amp;sms=9708&amp;_CSN=2033" TargetMode="External"/><Relationship Id="rId227" Type="http://schemas.openxmlformats.org/officeDocument/2006/relationships/hyperlink" Target="https://www.nlsc.gov.tw/cl.aspx?n=1546" TargetMode="External"/><Relationship Id="rId228" Type="http://schemas.openxmlformats.org/officeDocument/2006/relationships/hyperlink" Target="https://www.nlsc.gov.tw/cp.aspx?n=1550" TargetMode="External"/><Relationship Id="rId157" Type="http://schemas.openxmlformats.org/officeDocument/2006/relationships/hyperlink" Target="https://www.planet.com/industries/government/agriculture-monitoring/cap" TargetMode="External"/><Relationship Id="rId218" Type="http://schemas.openxmlformats.org/officeDocument/2006/relationships/hyperlink" Target="https://www.pro360.com.tw/price/aerial_photography" TargetMode="External"/><Relationship Id="rId224" Type="http://schemas.openxmlformats.org/officeDocument/2006/relationships/hyperlink" Target="https://www.rootlaw.com.tw/Attach/S-Doc/02211506300081-001.pdf" TargetMode="External"/><Relationship Id="rId153" Type="http://schemas.openxmlformats.org/officeDocument/2006/relationships/hyperlink" Target="https://www.taiwannews.com.tw/news/5954502" TargetMode="External"/><Relationship Id="rId150" Type="http://schemas.openxmlformats.org/officeDocument/2006/relationships/hyperlink" Target="https://www.taiwannews.com.tw/zh/news/3769456" TargetMode="External"/><Relationship Id="rId232" Type="http://schemas.openxmlformats.org/officeDocument/2006/relationships/hyperlink" Target="https://www.tasa.org.tw/zh-TW/service-and-tech/formosat-images/purchase" TargetMode="External"/><Relationship Id="rId211" Type="http://schemas.openxmlformats.org/officeDocument/2006/relationships/hyperlink" Target="https://www.w3.org/TR/prov-overview/" TargetMode="External"/><Relationship Id="rId201" Type="http://schemas.openxmlformats.org/officeDocument/2006/relationships/hyperlink" Target="https://www.zhongli-land.tycg.gov.tw/cp.aspx?n=55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2026-10-22T09:41:41Z</dcterms:created>
  <dcterms:modified xsi:type="dcterms:W3CDTF">2026-10-22T09:41:41Z</dcterms:modified>
</cp:coreProperties>
</file>

<file path=docProps/custom.xml><?xml version="1.0" encoding="utf-8"?>
<Properties xmlns="http://schemas.openxmlformats.org/officeDocument/2006/custom-properties" xmlns:vt="http://schemas.openxmlformats.org/officeDocument/2006/docPropsVTypes"/>
</file>