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黑体" w:hAnsi="黑体" w:eastAsia="黑体"/>
          <w:b/>
          <w:sz w:val="44"/>
        </w:rPr>
        <w:t>基于大语言模型的智能流程审批系统设计与实现</w:t>
      </w:r>
    </w:p>
    <w:p>
      <w:pPr>
        <w:pStyle w:val="Heading2"/>
      </w:pPr>
      <w:r>
        <w:t>本科毕业设计（论文）开题报告</w:t>
      </w:r>
    </w:p>
    <w:tbl>
      <w:tblPr>
        <w:tblStyle w:val="TableGrid"/>
        <w:tblW w:type="auto" w:w="0"/>
        <w:jc w:val="center"/>
        <w:tblLook w:firstColumn="1" w:firstRow="1" w:lastColumn="0" w:lastRow="0" w:noHBand="0" w:noVBand="1" w:val="04A0"/>
      </w:tblPr>
      <w:tblGrid>
        <w:gridCol w:w="4394"/>
        <w:gridCol w:w="4394"/>
      </w:tblGrid>
      <w:tr>
        <w:tc>
          <w:tcPr>
            <w:tcW w:type="dxa" w:w="4394"/>
            <w:vAlign w:val="center"/>
          </w:tcPr>
          <w:p>
            <w:pPr>
              <w:jc w:val="center"/>
            </w:pPr>
            <w:r>
              <w:rPr>
                <w:rFonts w:ascii="宋体" w:hAnsi="宋体" w:eastAsia="宋体"/>
                <w:b/>
                <w:sz w:val="21"/>
              </w:rPr>
              <w:t>项目</w:t>
            </w:r>
          </w:p>
        </w:tc>
        <w:tc>
          <w:tcPr>
            <w:tcW w:type="dxa" w:w="4394"/>
            <w:vAlign w:val="center"/>
          </w:tcPr>
          <w:p>
            <w:pPr>
              <w:jc w:val="center"/>
            </w:pPr>
            <w:r>
              <w:rPr>
                <w:rFonts w:ascii="宋体" w:hAnsi="宋体" w:eastAsia="宋体"/>
                <w:b/>
                <w:sz w:val="21"/>
              </w:rPr>
              <w:t>内容</w:t>
            </w:r>
          </w:p>
        </w:tc>
      </w:tr>
      <w:tr>
        <w:tc>
          <w:tcPr>
            <w:tcW w:type="dxa" w:w="4394"/>
            <w:vAlign w:val="center"/>
          </w:tcPr>
          <w:p>
            <w:pPr>
              <w:jc w:val="center"/>
            </w:pPr>
            <w:r>
              <w:rPr>
                <w:rFonts w:ascii="宋体" w:hAnsi="宋体" w:eastAsia="宋体"/>
                <w:b w:val="0"/>
                <w:sz w:val="21"/>
              </w:rPr>
              <w:t>学校</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学院（系）</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专业</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学生姓名</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学号</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指导教师</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职称</w:t>
            </w:r>
          </w:p>
        </w:tc>
        <w:tc>
          <w:tcPr>
            <w:tcW w:type="dxa" w:w="4394"/>
            <w:vAlign w:val="center"/>
          </w:tcPr>
          <w:p>
            <w:pPr>
              <w:jc w:val="center"/>
            </w:pPr>
            <w:r>
              <w:rPr>
                <w:rFonts w:ascii="宋体" w:hAnsi="宋体" w:eastAsia="宋体"/>
                <w:b w:val="0"/>
                <w:sz w:val="21"/>
              </w:rPr>
              <w:t>______________________________</w:t>
            </w:r>
          </w:p>
        </w:tc>
      </w:tr>
      <w:tr>
        <w:tc>
          <w:tcPr>
            <w:tcW w:type="dxa" w:w="4394"/>
            <w:vAlign w:val="center"/>
          </w:tcPr>
          <w:p>
            <w:pPr>
              <w:jc w:val="center"/>
            </w:pPr>
            <w:r>
              <w:rPr>
                <w:rFonts w:ascii="宋体" w:hAnsi="宋体" w:eastAsia="宋体"/>
                <w:b w:val="0"/>
                <w:sz w:val="21"/>
              </w:rPr>
              <w:t>课题性质</w:t>
            </w:r>
          </w:p>
        </w:tc>
        <w:tc>
          <w:tcPr>
            <w:tcW w:type="dxa" w:w="4394"/>
            <w:vAlign w:val="center"/>
          </w:tcPr>
          <w:p>
            <w:pPr>
              <w:jc w:val="center"/>
            </w:pPr>
            <w:r>
              <w:rPr>
                <w:rFonts w:ascii="宋体" w:hAnsi="宋体" w:eastAsia="宋体"/>
                <w:b w:val="0"/>
                <w:sz w:val="21"/>
              </w:rPr>
              <w:t>软件工程实践 / 应用研究</w:t>
            </w:r>
          </w:p>
        </w:tc>
      </w:tr>
      <w:tr>
        <w:tc>
          <w:tcPr>
            <w:tcW w:type="dxa" w:w="4394"/>
            <w:vAlign w:val="center"/>
          </w:tcPr>
          <w:p>
            <w:pPr>
              <w:jc w:val="center"/>
            </w:pPr>
            <w:r>
              <w:rPr>
                <w:rFonts w:ascii="宋体" w:hAnsi="宋体" w:eastAsia="宋体"/>
                <w:b w:val="0"/>
                <w:sz w:val="21"/>
              </w:rPr>
              <w:t>完成日期</w:t>
            </w:r>
          </w:p>
        </w:tc>
        <w:tc>
          <w:tcPr>
            <w:tcW w:type="dxa" w:w="4394"/>
            <w:vAlign w:val="center"/>
          </w:tcPr>
          <w:p>
            <w:pPr>
              <w:jc w:val="center"/>
            </w:pPr>
            <w:r>
              <w:rPr>
                <w:rFonts w:ascii="宋体" w:hAnsi="宋体" w:eastAsia="宋体"/>
                <w:b w:val="0"/>
                <w:sz w:val="21"/>
              </w:rPr>
              <w:t>______年____月____日</w:t>
            </w:r>
          </w:p>
        </w:tc>
      </w:tr>
    </w:tbl>
    <w:p>
      <w:pPr>
        <w:pStyle w:val="IntenseQuote"/>
        <w:spacing w:line="360" w:lineRule="auto"/>
      </w:pPr>
      <w:r>
        <w:t>说明：本文档采用通用本科开题报告格式。提交前请根据所在学校模板调整封面、字号、页眉页脚及签字栏，并替换以上个人信息。</w:t>
      </w:r>
    </w:p>
    <w:p>
      <w:r>
        <w:br w:type="page"/>
      </w:r>
    </w:p>
    <w:p>
      <w:pPr>
        <w:pStyle w:val="Heading1"/>
        <w:jc w:val="center"/>
      </w:pPr>
      <w:r>
        <w:t>一、课题基本信息</w:t>
      </w:r>
    </w:p>
    <w:p>
      <w:pPr>
        <w:pStyle w:val="Heading2"/>
      </w:pPr>
      <w:r>
        <w:t>1.1 课题名称</w:t>
      </w:r>
    </w:p>
    <w:p>
      <w:pPr>
        <w:spacing w:line="360" w:lineRule="auto"/>
        <w:ind w:firstLine="480"/>
      </w:pPr>
      <w:r>
        <w:t>基于大语言模型的智能流程审批系统设计与实现。</w:t>
      </w:r>
    </w:p>
    <w:p>
      <w:pPr>
        <w:spacing w:line="360" w:lineRule="auto"/>
        <w:ind w:firstLine="480"/>
      </w:pPr>
      <w:r>
        <w:t>英文题目：Design and Implementation of an Intelligent Workflow Approval System Based on Large Language Models。</w:t>
      </w:r>
    </w:p>
    <w:p>
      <w:pPr>
        <w:pStyle w:val="Heading2"/>
      </w:pPr>
      <w:r>
        <w:t>1.2 课题来源与类型</w:t>
      </w:r>
    </w:p>
    <w:p>
      <w:pPr>
        <w:spacing w:line="360" w:lineRule="auto"/>
        <w:ind w:firstLine="480"/>
      </w:pPr>
      <w:r>
        <w:t>本课题来源于企业审批流程数字化与低代码流程设计的实际需求，属于综合性软件工程实践课题。课题以 FlowMind 系统为实现载体，在传统工作流管理、可视化 BPMN 建模和动态表单的基础上，引入大语言模型、智能体工具调用、结构化输出、确定性校验和可观测评估机制，使非专业用户能够通过自然语言生成或修改可部署的审批流程。</w:t>
      </w:r>
    </w:p>
    <w:p>
      <w:pPr>
        <w:pStyle w:val="Heading2"/>
      </w:pPr>
      <w:r>
        <w:t>1.3 研究对象</w:t>
      </w:r>
    </w:p>
    <w:p>
      <w:pPr>
        <w:spacing w:line="360" w:lineRule="auto"/>
        <w:ind w:firstLine="480"/>
      </w:pPr>
      <w:r>
        <w:t>研究对象包括审批流程的分类、流程模型、业务表单及其全生命周期管理，重点研究自然语言需求如何安全、可解释地转换为符合 BPMN 2.0 和 VForm3 数据规范的增量设计操作。系统覆盖前端交互、微服务业务处理、流程引擎执行及独立 AI 服务四个方面。</w:t>
      </w:r>
    </w:p>
    <w:p>
      <w:r>
        <w:br w:type="page"/>
      </w:r>
    </w:p>
    <w:p>
      <w:pPr>
        <w:pStyle w:val="Heading1"/>
        <w:jc w:val="center"/>
      </w:pPr>
      <w:r>
        <w:t>二、研究背景与意义</w:t>
      </w:r>
    </w:p>
    <w:p>
      <w:pPr>
        <w:pStyle w:val="Heading2"/>
      </w:pPr>
      <w:r>
        <w:t>2.1 研究背景</w:t>
      </w:r>
    </w:p>
    <w:p>
      <w:pPr>
        <w:spacing w:line="360" w:lineRule="auto"/>
        <w:ind w:firstLine="480"/>
      </w:pPr>
      <w:r>
        <w:t>请假、报销、采购、合同审核等审批业务广泛存在于企业和公共组织中。传统审批系统虽然能够实现线上流转，但流程建模往往依赖技术人员或熟悉 BPMN 的业务管理员。用户需要理解开始事件、用户任务、排他网关、顺序流、候选角色等概念，还要完成表单字段、权限和条件表达式配置。对于需求频繁变化的中小型组织，这种建设方式存在沟通链条长、修改成本高和上线周期慢等问题。</w:t>
      </w:r>
    </w:p>
    <w:p>
      <w:pPr>
        <w:spacing w:line="360" w:lineRule="auto"/>
        <w:ind w:firstLine="480"/>
      </w:pPr>
      <w:r>
        <w:t>BPMN 2.0.2 由对象管理组织发布，定义了业务流程模型的图形语义和 XML 交换格式，为不同建模工具和流程引擎之间的互操作提供基础[1]。Flowable 能够部署 BPMN 2.0 流程定义、创建流程实例并管理运行及历史数据[2]。然而，标准化的执行能力并没有直接降低业务人员的建模门槛。</w:t>
      </w:r>
    </w:p>
    <w:p>
      <w:pPr>
        <w:spacing w:line="360" w:lineRule="auto"/>
        <w:ind w:firstLine="480"/>
      </w:pPr>
      <w:r>
        <w:t>大语言模型具备较强的自然语言理解和内容生成能力。ReAct 方法将推理与外部行动交替组织，使模型能够在生成过程中调用知识库或业务接口获取信息[3]。这为“自然语言描述—检索企业真实目录—生成流程模型”提供了技术基础。但若直接让模型返回完整 BPMN XML 或完整表单 JSON，仍容易出现节点丢失、标识冲突、角色编造、语法错误和全量覆盖等问题。因此，本课题不把大语言模型当作无约束代码生成器，而是将其置于受控的软件工程链路中：模型输出最小增量操作，服务端在原始设计副本上应用操作，再执行语法校验和业务校验，只有通过后才展示变更预览。</w:t>
      </w:r>
    </w:p>
    <w:p>
      <w:pPr>
        <w:pStyle w:val="Heading2"/>
      </w:pPr>
      <w:r>
        <w:t>2.2 理论意义</w:t>
      </w:r>
    </w:p>
    <w:p>
      <w:pPr>
        <w:spacing w:line="360" w:lineRule="auto"/>
        <w:ind w:firstLine="480"/>
      </w:pPr>
      <w:r>
        <w:t>本课题探索了生成式人工智能与传统工作流系统结合的方法。其核心不是单次文本生成，而是把概率性模型嵌入确定性的状态机、约束模型和验证闭环中。研究可为以下问题提供工程化参考：</w:t>
      </w:r>
    </w:p>
    <w:p>
      <w:pPr>
        <w:pStyle w:val="ListNumber"/>
        <w:spacing w:line="360" w:lineRule="auto"/>
      </w:pPr>
      <w:r>
        <w:t>如何把自然语言意图映射为可执行的流程领域操作；</w:t>
      </w:r>
    </w:p>
    <w:p>
      <w:pPr>
        <w:pStyle w:val="ListNumber"/>
        <w:spacing w:line="360" w:lineRule="auto"/>
      </w:pPr>
      <w:r>
        <w:t>如何通过 ReAct 工具检索降低角色、分类和表单引用的幻觉；</w:t>
      </w:r>
    </w:p>
    <w:p>
      <w:pPr>
        <w:pStyle w:val="ListNumber"/>
        <w:spacing w:line="360" w:lineRule="auto"/>
      </w:pPr>
      <w:r>
        <w:t>如何用结构化输出、规则校验和有限重试约束生成结果；</w:t>
      </w:r>
    </w:p>
    <w:p>
      <w:pPr>
        <w:pStyle w:val="ListNumber"/>
        <w:spacing w:line="360" w:lineRule="auto"/>
      </w:pPr>
      <w:r>
        <w:t>如何在多轮会话中保持流程上下文并避免覆盖用户已有设计；</w:t>
      </w:r>
    </w:p>
    <w:p>
      <w:pPr>
        <w:pStyle w:val="ListNumber"/>
        <w:spacing w:line="360" w:lineRule="auto"/>
      </w:pPr>
      <w:r>
        <w:t>如何通过链路追踪和黄金数据集评估持续改进提示词及模型配置。</w:t>
      </w:r>
    </w:p>
    <w:p>
      <w:pPr>
        <w:pStyle w:val="Heading2"/>
      </w:pPr>
      <w:r>
        <w:t>2.3 实践意义</w:t>
      </w:r>
    </w:p>
    <w:p>
      <w:pPr>
        <w:spacing w:line="360" w:lineRule="auto"/>
        <w:ind w:firstLine="480"/>
      </w:pPr>
      <w:r>
        <w:t>系统完成后，业务用户可用自然语言创建流程分类、审批流程和动态表单，也可针对现有设计提出“在经理审批后增加财务审批”等增量修改要求。候选结果先进入可视化预览，用户确认后才应用，降低错误设计直接进入生产环境的风险。对开发和运维人员而言，统一的模型运行时、Redis 会话状态、Langfuse 链路追踪和可重复评估脚本能够提高故障定位及版本迭代效率。</w:t>
      </w:r>
    </w:p>
    <w:p>
      <w:r>
        <w:br w:type="page"/>
      </w:r>
    </w:p>
    <w:p>
      <w:pPr>
        <w:pStyle w:val="Heading1"/>
        <w:jc w:val="center"/>
      </w:pPr>
      <w:r>
        <w:t>三、国内外研究与应用现状</w:t>
      </w:r>
    </w:p>
    <w:p>
      <w:pPr>
        <w:pStyle w:val="Heading2"/>
      </w:pPr>
      <w:r>
        <w:t>3.1 工作流与低代码流程建模</w:t>
      </w:r>
    </w:p>
    <w:p>
      <w:pPr>
        <w:spacing w:line="360" w:lineRule="auto"/>
        <w:ind w:firstLine="480"/>
      </w:pPr>
      <w:r>
        <w:t>工作流管理领域已经形成较成熟的建模和执行标准。BPMN 2.0.2 同时提供面向业务人员的图形符号和面向系统交换的 XML 元模型[1]。Flowable 等开源流程引擎围绕流程定义部署、实例启动、任务办理、历史查询及 REST API 提供了工程能力[2]。国内大量政企系统也采用基于 Spring Cloud 的微服务架构，将认证、系统管理、流程引擎和网关拆分部署。现有低代码平台主要通过拖拽设计器降低操作难度，但用户仍需掌握节点语义、连线条件和表单配置规则。</w:t>
      </w:r>
    </w:p>
    <w:p>
      <w:pPr>
        <w:pStyle w:val="Heading2"/>
      </w:pPr>
      <w:r>
        <w:t>3.2 大语言模型智能体与工具调用</w:t>
      </w:r>
    </w:p>
    <w:p>
      <w:pPr>
        <w:spacing w:line="360" w:lineRule="auto"/>
        <w:ind w:firstLine="480"/>
      </w:pPr>
      <w:r>
        <w:t>ReAct 研究提出让语言模型交替生成推理轨迹和任务行动，行动结果又反过来支持后续推理[3]。与只依赖提示词内部知识的生成方式相比，工具调用可以访问实时、权威的外部数据。本课题将这一思想用于企业目录查询：模型可检索真实流程分类、角色、表单和既有流程模型，不直接编造数据库标识。</w:t>
      </w:r>
    </w:p>
    <w:p>
      <w:pPr>
        <w:spacing w:line="360" w:lineRule="auto"/>
        <w:ind w:firstLine="480"/>
      </w:pPr>
      <w:r>
        <w:t>LangGraph 提供面向有状态智能体的图式编排能力，重点支持持久化、流式输出和可恢复执行[4]。其 checkpoint 机制可以按 thread 保存每一步图状态，为多轮会话记忆和故障恢复提供基础[5]。这类显式状态机比把全部逻辑写在单个提示词或单个接口函数中更容易观察和测试。</w:t>
      </w:r>
    </w:p>
    <w:p>
      <w:pPr>
        <w:pStyle w:val="Heading2"/>
      </w:pPr>
      <w:r>
        <w:t>3.3 大模型应用的可观测与评估</w:t>
      </w:r>
    </w:p>
    <w:p>
      <w:pPr>
        <w:spacing w:line="360" w:lineRule="auto"/>
        <w:ind w:firstLine="480"/>
      </w:pPr>
      <w:r>
        <w:t>大模型输出具有概率性，仅依赖传统接口测试难以评估提示词或模型版本变化。Langfuse 等平台使用 trace、observation 和 session 组织模型调用链，并提供数据集、实验与评分能力[6][7]。黄金数据集可以保存真实匿名对话及人工构造的边界用例，通过稳定契约评价生成结果，而不是要求模型文案逐字一致。</w:t>
      </w:r>
    </w:p>
    <w:p>
      <w:pPr>
        <w:pStyle w:val="Heading2"/>
      </w:pPr>
      <w:r>
        <w:t>3.4 现有方案不足</w:t>
      </w:r>
    </w:p>
    <w:p>
      <w:pPr>
        <w:spacing w:line="360" w:lineRule="auto"/>
        <w:ind w:firstLine="480"/>
      </w:pPr>
      <w:r>
        <w:t>综合现有技术，单项能力已较成熟，但端到端方案仍存在以下不足：</w:t>
      </w:r>
    </w:p>
    <w:p>
      <w:pPr>
        <w:pStyle w:val="ListBullet"/>
        <w:spacing w:line="360" w:lineRule="auto"/>
      </w:pPr>
      <w:r>
        <w:t>自然语言直接生成完整 XML，容易破坏原有扩展属性或图形坐标；</w:t>
      </w:r>
    </w:p>
    <w:p>
      <w:pPr>
        <w:pStyle w:val="ListBullet"/>
        <w:spacing w:line="360" w:lineRule="auto"/>
      </w:pPr>
      <w:r>
        <w:t>模型缺少企业真实目录上下文，可能生成不存在的角色或表单；</w:t>
      </w:r>
    </w:p>
    <w:p>
      <w:pPr>
        <w:pStyle w:val="ListBullet"/>
        <w:spacing w:line="360" w:lineRule="auto"/>
      </w:pPr>
      <w:r>
        <w:t>只做 JSON Schema 校验，无法发现孤立节点、多起点、无结束节点等业务错误；</w:t>
      </w:r>
    </w:p>
    <w:p>
      <w:pPr>
        <w:pStyle w:val="ListBullet"/>
        <w:spacing w:line="360" w:lineRule="auto"/>
      </w:pPr>
      <w:r>
        <w:t>全量覆盖式修改不利于保护用户已有流程；</w:t>
      </w:r>
    </w:p>
    <w:p>
      <w:pPr>
        <w:pStyle w:val="ListBullet"/>
        <w:spacing w:line="360" w:lineRule="auto"/>
      </w:pPr>
      <w:r>
        <w:t>模型切换、提示词调整和生成失败缺少统一追踪与回归基线；</w:t>
      </w:r>
    </w:p>
    <w:p>
      <w:pPr>
        <w:pStyle w:val="ListBullet"/>
        <w:spacing w:line="360" w:lineRule="auto"/>
      </w:pPr>
      <w:r>
        <w:t>流式输出、断线和模型降级处理不当时，前端可能收到重复内容或不完整结果。</w:t>
      </w:r>
    </w:p>
    <w:p>
      <w:pPr>
        <w:spacing w:line="360" w:lineRule="auto"/>
        <w:ind w:firstLine="480"/>
      </w:pPr>
      <w:r>
        <w:t>本课题拟通过“操作协议 + 双层校验 + 状态机重试 + 用户预览确认 + 全链路观测”解决上述问题。</w:t>
      </w:r>
    </w:p>
    <w:p>
      <w:r>
        <w:br w:type="page"/>
      </w:r>
    </w:p>
    <w:p>
      <w:pPr>
        <w:pStyle w:val="Heading1"/>
        <w:jc w:val="center"/>
      </w:pPr>
      <w:r>
        <w:t>四、研究目标与主要内容</w:t>
      </w:r>
    </w:p>
    <w:p>
      <w:pPr>
        <w:pStyle w:val="Heading2"/>
      </w:pPr>
      <w:r>
        <w:t>4.1 总体目标</w:t>
      </w:r>
    </w:p>
    <w:p>
      <w:pPr>
        <w:spacing w:line="360" w:lineRule="auto"/>
        <w:ind w:firstLine="480"/>
      </w:pPr>
      <w:r>
        <w:t>设计并实现一个前后端分离、微服务化的智能流程审批系统。系统既具备传统流程管理、任务审批和动态表单能力，又能通过自然语言辅助设计流程分类、BPMN 流程和 VForm3 表单。AI 生成结果必须可追踪、可校验、可回退，且默认不覆盖用户现有设计。</w:t>
      </w:r>
    </w:p>
    <w:p>
      <w:pPr>
        <w:pStyle w:val="Heading2"/>
      </w:pPr>
      <w:r>
        <w:t>4.2 功能目标</w:t>
      </w:r>
    </w:p>
    <w:p>
      <w:pPr>
        <w:pStyle w:val="ListNumber"/>
        <w:spacing w:line="360" w:lineRule="auto"/>
      </w:pPr>
      <w:r>
        <w:t>实现用户认证、角色权限、流程分类、流程模型、部署、任务办理、审批中心和草稿箱等基础功能；</w:t>
      </w:r>
    </w:p>
    <w:p>
      <w:pPr>
        <w:pStyle w:val="ListNumber"/>
        <w:spacing w:line="360" w:lineRule="auto"/>
      </w:pPr>
      <w:r>
        <w:t>实现全局 AI 对话助手，支持多轮历史和逐 token 流式输出；</w:t>
      </w:r>
    </w:p>
    <w:p>
      <w:pPr>
        <w:pStyle w:val="ListNumber"/>
        <w:spacing w:line="360" w:lineRule="auto"/>
      </w:pPr>
      <w:r>
        <w:t>实现分类、流程和表单三类 AI 设计入口；</w:t>
      </w:r>
    </w:p>
    <w:p>
      <w:pPr>
        <w:pStyle w:val="ListNumber"/>
        <w:spacing w:line="360" w:lineRule="auto"/>
      </w:pPr>
      <w:r>
        <w:t>支持对现有流程和表单进行增量修改，只有用户明确选择全部重新生成并二次确认时才允许全量替换；</w:t>
      </w:r>
    </w:p>
    <w:p>
      <w:pPr>
        <w:pStyle w:val="ListNumber"/>
        <w:spacing w:line="360" w:lineRule="auto"/>
      </w:pPr>
      <w:r>
        <w:t>对生成的 BPMN XML、VForm3 JSON 和业务引用执行确定性校验；</w:t>
      </w:r>
    </w:p>
    <w:p>
      <w:pPr>
        <w:pStyle w:val="ListNumber"/>
        <w:spacing w:line="360" w:lineRule="auto"/>
      </w:pPr>
      <w:r>
        <w:t>生成结果先展示变更预览，用户确认后再写入页面正式状态；</w:t>
      </w:r>
    </w:p>
    <w:p>
      <w:pPr>
        <w:pStyle w:val="ListNumber"/>
        <w:spacing w:line="360" w:lineRule="auto"/>
      </w:pPr>
      <w:r>
        <w:t>实现模型 Provider 降级、错误兜底、提示词版本管理和灰度发布；</w:t>
      </w:r>
    </w:p>
    <w:p>
      <w:pPr>
        <w:pStyle w:val="ListNumber"/>
        <w:spacing w:line="360" w:lineRule="auto"/>
      </w:pPr>
      <w:r>
        <w:t>接入 Langfuse，实现工作流、模型、工具和评估结果的完整追踪；</w:t>
      </w:r>
    </w:p>
    <w:p>
      <w:pPr>
        <w:pStyle w:val="ListNumber"/>
        <w:spacing w:line="360" w:lineRule="auto"/>
      </w:pPr>
      <w:r>
        <w:t>建立含单轮、多轮和失败场景的黄金数据集，支持全量或指定用例执行。</w:t>
      </w:r>
    </w:p>
    <w:p>
      <w:pPr>
        <w:pStyle w:val="Heading2"/>
      </w:pPr>
      <w:r>
        <w:t>4.3 研究内容</w:t>
      </w:r>
    </w:p>
    <w:p>
      <w:pPr>
        <w:pStyle w:val="Heading3"/>
      </w:pPr>
      <w:r>
        <w:t>4.3.1 审批业务平台设计</w:t>
      </w:r>
    </w:p>
    <w:p>
      <w:pPr>
        <w:spacing w:line="360" w:lineRule="auto"/>
        <w:ind w:firstLine="480"/>
      </w:pPr>
      <w:r>
        <w:t>基于 Vue 3 和 Element Plus 实现工作台、流程管理、表单管理、审批中心及 AI 交互界面；基于 Spring Cloud 和 RuoYi-Cloud 实现认证、网关、系统管理及 Flowable 业务服务；使用 MySQL 保存业务数据，使用 Nacos 完成服务注册与配置管理。</w:t>
      </w:r>
    </w:p>
    <w:p>
      <w:pPr>
        <w:pStyle w:val="Heading3"/>
      </w:pPr>
      <w:r>
        <w:t>4.3.2 AI 工作流编排</w:t>
      </w:r>
    </w:p>
    <w:p>
      <w:pPr>
        <w:spacing w:line="360" w:lineRule="auto"/>
        <w:ind w:firstLine="480"/>
      </w:pPr>
      <w:r>
        <w:t>采用 FastAPI 提供独立 AI 服务，使用 LangGraph 构建 prepare → design → review → format 工作流。prepare 节点统一处理请求类型、模式和基线数据；design 节点完成意图分析、工具检索与结构化操作生成；review 节点执行规则校验并按有限预算反馈重试；format 节点形成稳定响应。</w:t>
      </w:r>
    </w:p>
    <w:p>
      <w:pPr>
        <w:pStyle w:val="Heading3"/>
      </w:pPr>
      <w:r>
        <w:t>4.3.3 增量设计协议</w:t>
      </w:r>
    </w:p>
    <w:p>
      <w:pPr>
        <w:spacing w:line="360" w:lineRule="auto"/>
        <w:ind w:firstLine="480"/>
      </w:pPr>
      <w:r>
        <w:t>针对流程、表单和分类定义具有类型约束的操作集合，包括新增、修改、删除、移动和经授权的整体替换。服务端先深拷贝原设计，再应用操作。BPMN 修改基于原始 XML DOM 合并，保留未涉及的扩展元素、监听器和图形坐标。add_node.after_id 自动插入节点并重连顺序流，显式边只补全当前批次生成的裸连线，不覆盖原有同端点条件分支。</w:t>
      </w:r>
    </w:p>
    <w:p>
      <w:pPr>
        <w:pStyle w:val="Heading3"/>
      </w:pPr>
      <w:r>
        <w:t>4.3.4 生成校验与安全兜底</w:t>
      </w:r>
    </w:p>
    <w:p>
      <w:pPr>
        <w:spacing w:line="360" w:lineRule="auto"/>
        <w:ind w:firstLine="480"/>
      </w:pPr>
      <w:r>
        <w:t>结构层使用 Pydantic 约束模型输出；语法层验证 BPMN XML 和 VForm3 JSON；业务层校验节点数量、起止事件、连线连通性、网关条件、角色引用、分类编码冲突及表单字段规则。可修复错误反馈给模型重试；连续出现相同错误时提前终止，防止死循环。失败结果统一返回 error 且不携带可应用草稿，信息不足返回 needs_input，成功返回 ready。</w:t>
      </w:r>
    </w:p>
    <w:p>
      <w:pPr>
        <w:pStyle w:val="Heading3"/>
      </w:pPr>
      <w:r>
        <w:t>4.3.5 可观测、版本与评估</w:t>
      </w:r>
    </w:p>
    <w:p>
      <w:pPr>
        <w:spacing w:line="360" w:lineRule="auto"/>
        <w:ind w:firstLine="480"/>
      </w:pPr>
      <w:r>
        <w:t>Langfuse 根 trace 关联用户、会话和业务 trace_id，子 observation 覆盖 LangGraph 节点、ReAct 工具、Provider 尝试和结构化生成。提示词统一保存为 Markdown，通过版本清单和 thread_id 稳定哈希实现灰度。黄金数据集使用 JSONL 管理，记录输入、期望契约和多轮上下文，执行结果写入 Dataset Run。</w:t>
      </w:r>
    </w:p>
    <w:p>
      <w:r>
        <w:br w:type="page"/>
      </w:r>
    </w:p>
    <w:p>
      <w:pPr>
        <w:pStyle w:val="Heading1"/>
        <w:jc w:val="center"/>
      </w:pPr>
      <w:r>
        <w:t>五、拟解决的关键问题</w:t>
      </w:r>
    </w:p>
    <w:p>
      <w:pPr>
        <w:pStyle w:val="Heading2"/>
      </w:pPr>
      <w:r>
        <w:t>5.1 概率性输出与确定性流程规范的矛盾</w:t>
      </w:r>
    </w:p>
    <w:p>
      <w:pPr>
        <w:spacing w:line="360" w:lineRule="auto"/>
        <w:ind w:firstLine="480"/>
      </w:pPr>
      <w:r>
        <w:t>大语言模型可能输出格式正确但业务错误的内容。拟采用“结构化输出—操作应用—领域校验—错误反馈重试”的闭环，将模型限制在候选方案生成环节，把是否可应用交给确定性规则判断。</w:t>
      </w:r>
    </w:p>
    <w:p>
      <w:pPr>
        <w:pStyle w:val="Heading2"/>
      </w:pPr>
      <w:r>
        <w:t>5.2 增量修改的无损性</w:t>
      </w:r>
    </w:p>
    <w:p>
      <w:pPr>
        <w:spacing w:line="360" w:lineRule="auto"/>
        <w:ind w:firstLine="480"/>
      </w:pPr>
      <w:r>
        <w:t>若每轮都返回完整模型，旧节点和未知扩展属性可能被遗漏。拟让模型只描述变化，服务端基于原始数据应用最小操作；对 BPMN 使用 DOM 级合并，未提及部分保持不变。全量替换作为同一操作协议中的受控能力，不另设含义重叠的重置功能。</w:t>
      </w:r>
    </w:p>
    <w:p>
      <w:pPr>
        <w:pStyle w:val="Heading2"/>
      </w:pPr>
      <w:r>
        <w:t>5.3 企业真实数据引用</w:t>
      </w:r>
    </w:p>
    <w:p>
      <w:pPr>
        <w:spacing w:line="360" w:lineRule="auto"/>
        <w:ind w:firstLine="480"/>
      </w:pPr>
      <w:r>
        <w:t>模型不知道系统中已有的角色、分类和表单。拟提供只读检索工具，并通过认证令牌调用 Java 后端权威接口；生成后再次做业务校验，形成“检索降低幻觉、校验阻止漏网错误”的双保险。</w:t>
      </w:r>
    </w:p>
    <w:p>
      <w:pPr>
        <w:pStyle w:val="Heading2"/>
      </w:pPr>
      <w:r>
        <w:t>5.4 流式输出与模型降级一致性</w:t>
      </w:r>
    </w:p>
    <w:p>
      <w:pPr>
        <w:spacing w:line="360" w:lineRule="auto"/>
        <w:ind w:firstLine="480"/>
      </w:pPr>
      <w:r>
        <w:t>模型在首个 token 前失败时可以安全切换 Provider；一旦已有内容输出，若从备用模型重新开始会造成重复。拟在统一模型运行时记录 token_started 状态：首 token 前允许切换，首 token 后中断则结束当前流并返回可追踪错误，不重放内容。</w:t>
      </w:r>
    </w:p>
    <w:p>
      <w:pPr>
        <w:pStyle w:val="Heading2"/>
      </w:pPr>
      <w:r>
        <w:t>5.5 多轮状态与并发安全</w:t>
      </w:r>
    </w:p>
    <w:p>
      <w:pPr>
        <w:spacing w:line="360" w:lineRule="auto"/>
        <w:ind w:firstLine="480"/>
      </w:pPr>
      <w:r>
        <w:t>拟使用 Redis checkpoint 按 thread 保存 LangGraph 状态，通过会话命名空间隔离不同用户。对同一设计会话使用带 TTL 的分布式锁，避免并发修改互相覆盖，并使用 ownership token 保证释放锁时不会误删后续请求持有的锁。</w:t>
      </w:r>
    </w:p>
    <w:p>
      <w:r>
        <w:br w:type="page"/>
      </w:r>
    </w:p>
    <w:p>
      <w:pPr>
        <w:pStyle w:val="Heading1"/>
        <w:jc w:val="center"/>
      </w:pPr>
      <w:r>
        <w:t>六、系统方案与技术路线</w:t>
      </w:r>
    </w:p>
    <w:p>
      <w:pPr>
        <w:pStyle w:val="Heading2"/>
      </w:pPr>
      <w:r>
        <w:t>6.1 总体架构</w:t>
      </w:r>
    </w:p>
    <w:p>
      <w:pPr>
        <w:spacing w:line="360" w:lineRule="auto"/>
        <w:ind w:firstLine="480"/>
      </w:pPr>
      <w:r>
        <w:t>系统分为表现层、网关与业务服务层、AI 编排层、流程引擎与数据层、可观测评估层。</w:t>
      </w:r>
    </w:p>
    <w:p>
      <w:pPr>
        <w:pStyle w:val="论文代码"/>
        <w:spacing w:line="360" w:lineRule="auto"/>
      </w:pPr>
      <w:r>
        <w:t>用户浏览器</w:t>
      </w:r>
    </w:p>
    <w:p>
      <w:pPr>
        <w:pStyle w:val="论文代码"/>
        <w:spacing w:line="360" w:lineRule="auto"/>
      </w:pPr>
      <w:r>
        <w:t xml:space="preserve">   │</w:t>
      </w:r>
    </w:p>
    <w:p>
      <w:pPr>
        <w:pStyle w:val="论文代码"/>
        <w:spacing w:line="360" w:lineRule="auto"/>
      </w:pPr>
      <w:r>
        <w:t xml:space="preserve">   ▼</w:t>
      </w:r>
    </w:p>
    <w:p>
      <w:pPr>
        <w:pStyle w:val="论文代码"/>
        <w:spacing w:line="360" w:lineRule="auto"/>
      </w:pPr>
      <w:r>
        <w:t>Vue 3 前端 ── SSE/HTTP ── Spring Cloud Gateway</w:t>
      </w:r>
    </w:p>
    <w:p>
      <w:pPr>
        <w:pStyle w:val="论文代码"/>
        <w:spacing w:line="360" w:lineRule="auto"/>
      </w:pPr>
      <w:r>
        <w:t xml:space="preserve">   │                              │</w:t>
      </w:r>
    </w:p>
    <w:p>
      <w:pPr>
        <w:pStyle w:val="论文代码"/>
        <w:spacing w:line="360" w:lineRule="auto"/>
      </w:pPr>
      <w:r>
        <w:t xml:space="preserve">   │                              ├─ Auth / System / Flowable</w:t>
      </w:r>
    </w:p>
    <w:p>
      <w:pPr>
        <w:pStyle w:val="论文代码"/>
        <w:spacing w:line="360" w:lineRule="auto"/>
      </w:pPr>
      <w:r>
        <w:t xml:space="preserve">   │                              │          │</w:t>
      </w:r>
    </w:p>
    <w:p>
      <w:pPr>
        <w:pStyle w:val="论文代码"/>
        <w:spacing w:line="360" w:lineRule="auto"/>
      </w:pPr>
      <w:r>
        <w:t xml:space="preserve">   └──────── AI 设计请求 ─────────┤          └─ MySQL</w:t>
      </w:r>
    </w:p>
    <w:p>
      <w:pPr>
        <w:pStyle w:val="论文代码"/>
        <w:spacing w:line="360" w:lineRule="auto"/>
      </w:pPr>
      <w:r>
        <w:t xml:space="preserve">                                  ▼</w:t>
      </w:r>
    </w:p>
    <w:p>
      <w:pPr>
        <w:pStyle w:val="论文代码"/>
        <w:spacing w:line="360" w:lineRule="auto"/>
      </w:pPr>
      <w:r>
        <w:t xml:space="preserve">                         FastAPI + LangGraph</w:t>
      </w:r>
    </w:p>
    <w:p>
      <w:pPr>
        <w:pStyle w:val="论文代码"/>
        <w:spacing w:line="360" w:lineRule="auto"/>
      </w:pPr>
      <w:r>
        <w:t xml:space="preserve">                         prepare → design → review → format</w:t>
      </w:r>
    </w:p>
    <w:p>
      <w:pPr>
        <w:pStyle w:val="论文代码"/>
        <w:spacing w:line="360" w:lineRule="auto"/>
      </w:pPr>
      <w:r>
        <w:t xml:space="preserve">                                  │       │</w:t>
      </w:r>
    </w:p>
    <w:p>
      <w:pPr>
        <w:pStyle w:val="论文代码"/>
        <w:spacing w:line="360" w:lineRule="auto"/>
      </w:pPr>
      <w:r>
        <w:t xml:space="preserve">                   ReAct 检索工具 ┘       └─ BPMN/VForm3/业务校验</w:t>
      </w:r>
    </w:p>
    <w:p>
      <w:pPr>
        <w:pStyle w:val="论文代码"/>
        <w:spacing w:line="360" w:lineRule="auto"/>
      </w:pPr>
      <w:r>
        <w:t xml:space="preserve">                                  │</w:t>
      </w:r>
    </w:p>
    <w:p>
      <w:pPr>
        <w:pStyle w:val="论文代码"/>
        <w:spacing w:line="360" w:lineRule="auto"/>
      </w:pPr>
      <w:r>
        <w:t xml:space="preserve">                       模型 Provider / Redis / Langfuse</w:t>
      </w:r>
    </w:p>
    <w:p>
      <w:pPr>
        <w:pStyle w:val="Heading2"/>
      </w:pPr>
      <w:r>
        <w:t>6.2 技术选型</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宋体" w:hAnsi="宋体" w:eastAsia="宋体"/>
                <w:b/>
                <w:sz w:val="21"/>
              </w:rPr>
              <w:t>层次</w:t>
            </w:r>
          </w:p>
        </w:tc>
        <w:tc>
          <w:tcPr>
            <w:tcW w:type="dxa" w:w="2929"/>
            <w:vAlign w:val="center"/>
          </w:tcPr>
          <w:p>
            <w:pPr>
              <w:jc w:val="center"/>
            </w:pPr>
            <w:r>
              <w:rPr>
                <w:rFonts w:ascii="宋体" w:hAnsi="宋体" w:eastAsia="宋体"/>
                <w:b/>
                <w:sz w:val="21"/>
              </w:rPr>
              <w:t>主要技术</w:t>
            </w:r>
          </w:p>
        </w:tc>
        <w:tc>
          <w:tcPr>
            <w:tcW w:type="dxa" w:w="2929"/>
            <w:vAlign w:val="center"/>
          </w:tcPr>
          <w:p>
            <w:pPr>
              <w:jc w:val="center"/>
            </w:pPr>
            <w:r>
              <w:rPr>
                <w:rFonts w:ascii="宋体" w:hAnsi="宋体" w:eastAsia="宋体"/>
                <w:b/>
                <w:sz w:val="21"/>
              </w:rPr>
              <w:t>选型理由</w:t>
            </w:r>
          </w:p>
        </w:tc>
      </w:tr>
      <w:tr>
        <w:tc>
          <w:tcPr>
            <w:tcW w:type="dxa" w:w="2929"/>
            <w:vAlign w:val="center"/>
          </w:tcPr>
          <w:p>
            <w:pPr>
              <w:jc w:val="center"/>
            </w:pPr>
            <w:r>
              <w:rPr>
                <w:rFonts w:ascii="宋体" w:hAnsi="宋体" w:eastAsia="宋体"/>
                <w:b w:val="0"/>
                <w:sz w:val="21"/>
              </w:rPr>
              <w:t>前端</w:t>
            </w:r>
          </w:p>
        </w:tc>
        <w:tc>
          <w:tcPr>
            <w:tcW w:type="dxa" w:w="2929"/>
            <w:vAlign w:val="center"/>
          </w:tcPr>
          <w:p>
            <w:pPr>
              <w:jc w:val="center"/>
            </w:pPr>
            <w:r>
              <w:rPr>
                <w:rFonts w:ascii="宋体" w:hAnsi="宋体" w:eastAsia="宋体"/>
                <w:b w:val="0"/>
                <w:sz w:val="21"/>
              </w:rPr>
              <w:t>Vue 3、Vite、Element Plus</w:t>
            </w:r>
          </w:p>
        </w:tc>
        <w:tc>
          <w:tcPr>
            <w:tcW w:type="dxa" w:w="2929"/>
            <w:vAlign w:val="center"/>
          </w:tcPr>
          <w:p>
            <w:pPr>
              <w:jc w:val="center"/>
            </w:pPr>
            <w:r>
              <w:rPr>
                <w:rFonts w:ascii="宋体" w:hAnsi="宋体" w:eastAsia="宋体"/>
                <w:b w:val="0"/>
                <w:sz w:val="21"/>
              </w:rPr>
              <w:t>组件化、响应式，适合管理端和复杂设计器界面[8]</w:t>
            </w:r>
          </w:p>
        </w:tc>
      </w:tr>
      <w:tr>
        <w:tc>
          <w:tcPr>
            <w:tcW w:type="dxa" w:w="2929"/>
            <w:vAlign w:val="center"/>
          </w:tcPr>
          <w:p>
            <w:pPr>
              <w:jc w:val="center"/>
            </w:pPr>
            <w:r>
              <w:rPr>
                <w:rFonts w:ascii="宋体" w:hAnsi="宋体" w:eastAsia="宋体"/>
                <w:b w:val="0"/>
                <w:sz w:val="21"/>
              </w:rPr>
              <w:t>流程设计</w:t>
            </w:r>
          </w:p>
        </w:tc>
        <w:tc>
          <w:tcPr>
            <w:tcW w:type="dxa" w:w="2929"/>
            <w:vAlign w:val="center"/>
          </w:tcPr>
          <w:p>
            <w:pPr>
              <w:jc w:val="center"/>
            </w:pPr>
            <w:r>
              <w:rPr>
                <w:rFonts w:ascii="宋体" w:hAnsi="宋体" w:eastAsia="宋体"/>
                <w:b w:val="0"/>
                <w:sz w:val="21"/>
              </w:rPr>
              <w:t>BPMN-JS、VForm3</w:t>
            </w:r>
          </w:p>
        </w:tc>
        <w:tc>
          <w:tcPr>
            <w:tcW w:type="dxa" w:w="2929"/>
            <w:vAlign w:val="center"/>
          </w:tcPr>
          <w:p>
            <w:pPr>
              <w:jc w:val="center"/>
            </w:pPr>
            <w:r>
              <w:rPr>
                <w:rFonts w:ascii="宋体" w:hAnsi="宋体" w:eastAsia="宋体"/>
                <w:b w:val="0"/>
                <w:sz w:val="21"/>
              </w:rPr>
              <w:t>分别承担 BPMN 可视化和动态表单编辑</w:t>
            </w:r>
          </w:p>
        </w:tc>
      </w:tr>
      <w:tr>
        <w:tc>
          <w:tcPr>
            <w:tcW w:type="dxa" w:w="2929"/>
            <w:vAlign w:val="center"/>
          </w:tcPr>
          <w:p>
            <w:pPr>
              <w:jc w:val="center"/>
            </w:pPr>
            <w:r>
              <w:rPr>
                <w:rFonts w:ascii="宋体" w:hAnsi="宋体" w:eastAsia="宋体"/>
                <w:b w:val="0"/>
                <w:sz w:val="21"/>
              </w:rPr>
              <w:t>网关与业务</w:t>
            </w:r>
          </w:p>
        </w:tc>
        <w:tc>
          <w:tcPr>
            <w:tcW w:type="dxa" w:w="2929"/>
            <w:vAlign w:val="center"/>
          </w:tcPr>
          <w:p>
            <w:pPr>
              <w:jc w:val="center"/>
            </w:pPr>
            <w:r>
              <w:rPr>
                <w:rFonts w:ascii="宋体" w:hAnsi="宋体" w:eastAsia="宋体"/>
                <w:b w:val="0"/>
                <w:sz w:val="21"/>
              </w:rPr>
              <w:t>Spring Boot、Spring Cloud、RuoYi-Cloud</w:t>
            </w:r>
          </w:p>
        </w:tc>
        <w:tc>
          <w:tcPr>
            <w:tcW w:type="dxa" w:w="2929"/>
            <w:vAlign w:val="center"/>
          </w:tcPr>
          <w:p>
            <w:pPr>
              <w:jc w:val="center"/>
            </w:pPr>
            <w:r>
              <w:rPr>
                <w:rFonts w:ascii="宋体" w:hAnsi="宋体" w:eastAsia="宋体"/>
                <w:b w:val="0"/>
                <w:sz w:val="21"/>
              </w:rPr>
              <w:t>便于服务发现、路由、认证及模块化业务开发[9]</w:t>
            </w:r>
          </w:p>
        </w:tc>
      </w:tr>
      <w:tr>
        <w:tc>
          <w:tcPr>
            <w:tcW w:type="dxa" w:w="2929"/>
            <w:vAlign w:val="center"/>
          </w:tcPr>
          <w:p>
            <w:pPr>
              <w:jc w:val="center"/>
            </w:pPr>
            <w:r>
              <w:rPr>
                <w:rFonts w:ascii="宋体" w:hAnsi="宋体" w:eastAsia="宋体"/>
                <w:b w:val="0"/>
                <w:sz w:val="21"/>
              </w:rPr>
              <w:t>流程引擎</w:t>
            </w:r>
          </w:p>
        </w:tc>
        <w:tc>
          <w:tcPr>
            <w:tcW w:type="dxa" w:w="2929"/>
            <w:vAlign w:val="center"/>
          </w:tcPr>
          <w:p>
            <w:pPr>
              <w:jc w:val="center"/>
            </w:pPr>
            <w:r>
              <w:rPr>
                <w:rFonts w:ascii="宋体" w:hAnsi="宋体" w:eastAsia="宋体"/>
                <w:b w:val="0"/>
                <w:sz w:val="21"/>
              </w:rPr>
              <w:t>Flowable</w:t>
            </w:r>
          </w:p>
        </w:tc>
        <w:tc>
          <w:tcPr>
            <w:tcW w:type="dxa" w:w="2929"/>
            <w:vAlign w:val="center"/>
          </w:tcPr>
          <w:p>
            <w:pPr>
              <w:jc w:val="center"/>
            </w:pPr>
            <w:r>
              <w:rPr>
                <w:rFonts w:ascii="宋体" w:hAnsi="宋体" w:eastAsia="宋体"/>
                <w:b w:val="0"/>
                <w:sz w:val="21"/>
              </w:rPr>
              <w:t>可部署和执行 BPMN 2.0 定义，提供任务及历史 API[2]</w:t>
            </w:r>
          </w:p>
        </w:tc>
      </w:tr>
      <w:tr>
        <w:tc>
          <w:tcPr>
            <w:tcW w:type="dxa" w:w="2929"/>
            <w:vAlign w:val="center"/>
          </w:tcPr>
          <w:p>
            <w:pPr>
              <w:jc w:val="center"/>
            </w:pPr>
            <w:r>
              <w:rPr>
                <w:rFonts w:ascii="宋体" w:hAnsi="宋体" w:eastAsia="宋体"/>
                <w:b w:val="0"/>
                <w:sz w:val="21"/>
              </w:rPr>
              <w:t>AI API</w:t>
            </w:r>
          </w:p>
        </w:tc>
        <w:tc>
          <w:tcPr>
            <w:tcW w:type="dxa" w:w="2929"/>
            <w:vAlign w:val="center"/>
          </w:tcPr>
          <w:p>
            <w:pPr>
              <w:jc w:val="center"/>
            </w:pPr>
            <w:r>
              <w:rPr>
                <w:rFonts w:ascii="宋体" w:hAnsi="宋体" w:eastAsia="宋体"/>
                <w:b w:val="0"/>
                <w:sz w:val="21"/>
              </w:rPr>
              <w:t>FastAPI、Pydantic</w:t>
            </w:r>
          </w:p>
        </w:tc>
        <w:tc>
          <w:tcPr>
            <w:tcW w:type="dxa" w:w="2929"/>
            <w:vAlign w:val="center"/>
          </w:tcPr>
          <w:p>
            <w:pPr>
              <w:jc w:val="center"/>
            </w:pPr>
            <w:r>
              <w:rPr>
                <w:rFonts w:ascii="宋体" w:hAnsi="宋体" w:eastAsia="宋体"/>
                <w:b w:val="0"/>
                <w:sz w:val="21"/>
              </w:rPr>
              <w:t>基于类型注解构建接口并进行数据校验[10]</w:t>
            </w:r>
          </w:p>
        </w:tc>
      </w:tr>
      <w:tr>
        <w:tc>
          <w:tcPr>
            <w:tcW w:type="dxa" w:w="2929"/>
            <w:vAlign w:val="center"/>
          </w:tcPr>
          <w:p>
            <w:pPr>
              <w:jc w:val="center"/>
            </w:pPr>
            <w:r>
              <w:rPr>
                <w:rFonts w:ascii="宋体" w:hAnsi="宋体" w:eastAsia="宋体"/>
                <w:b w:val="0"/>
                <w:sz w:val="21"/>
              </w:rPr>
              <w:t>智能编排</w:t>
            </w:r>
          </w:p>
        </w:tc>
        <w:tc>
          <w:tcPr>
            <w:tcW w:type="dxa" w:w="2929"/>
            <w:vAlign w:val="center"/>
          </w:tcPr>
          <w:p>
            <w:pPr>
              <w:jc w:val="center"/>
            </w:pPr>
            <w:r>
              <w:rPr>
                <w:rFonts w:ascii="宋体" w:hAnsi="宋体" w:eastAsia="宋体"/>
                <w:b w:val="0"/>
                <w:sz w:val="21"/>
              </w:rPr>
              <w:t>LangChain、LangGraph</w:t>
            </w:r>
          </w:p>
        </w:tc>
        <w:tc>
          <w:tcPr>
            <w:tcW w:type="dxa" w:w="2929"/>
            <w:vAlign w:val="center"/>
          </w:tcPr>
          <w:p>
            <w:pPr>
              <w:jc w:val="center"/>
            </w:pPr>
            <w:r>
              <w:rPr>
                <w:rFonts w:ascii="宋体" w:hAnsi="宋体" w:eastAsia="宋体"/>
                <w:b w:val="0"/>
                <w:sz w:val="21"/>
              </w:rPr>
              <w:t>支持模型工具调用、有状态图编排、持久化与流式执行[4]</w:t>
            </w:r>
          </w:p>
        </w:tc>
      </w:tr>
      <w:tr>
        <w:tc>
          <w:tcPr>
            <w:tcW w:type="dxa" w:w="2929"/>
            <w:vAlign w:val="center"/>
          </w:tcPr>
          <w:p>
            <w:pPr>
              <w:jc w:val="center"/>
            </w:pPr>
            <w:r>
              <w:rPr>
                <w:rFonts w:ascii="宋体" w:hAnsi="宋体" w:eastAsia="宋体"/>
                <w:b w:val="0"/>
                <w:sz w:val="21"/>
              </w:rPr>
              <w:t>状态与锁</w:t>
            </w:r>
          </w:p>
        </w:tc>
        <w:tc>
          <w:tcPr>
            <w:tcW w:type="dxa" w:w="2929"/>
            <w:vAlign w:val="center"/>
          </w:tcPr>
          <w:p>
            <w:pPr>
              <w:jc w:val="center"/>
            </w:pPr>
            <w:r>
              <w:rPr>
                <w:rFonts w:ascii="宋体" w:hAnsi="宋体" w:eastAsia="宋体"/>
                <w:b w:val="0"/>
                <w:sz w:val="21"/>
              </w:rPr>
              <w:t>Redis</w:t>
            </w:r>
          </w:p>
        </w:tc>
        <w:tc>
          <w:tcPr>
            <w:tcW w:type="dxa" w:w="2929"/>
            <w:vAlign w:val="center"/>
          </w:tcPr>
          <w:p>
            <w:pPr>
              <w:jc w:val="center"/>
            </w:pPr>
            <w:r>
              <w:rPr>
                <w:rFonts w:ascii="宋体" w:hAnsi="宋体" w:eastAsia="宋体"/>
                <w:b w:val="0"/>
                <w:sz w:val="21"/>
              </w:rPr>
              <w:t>保存 checkpoint、会话索引和分布式锁；可按部署需求配置持久化[11]</w:t>
            </w:r>
          </w:p>
        </w:tc>
      </w:tr>
      <w:tr>
        <w:tc>
          <w:tcPr>
            <w:tcW w:type="dxa" w:w="2929"/>
            <w:vAlign w:val="center"/>
          </w:tcPr>
          <w:p>
            <w:pPr>
              <w:jc w:val="center"/>
            </w:pPr>
            <w:r>
              <w:rPr>
                <w:rFonts w:ascii="宋体" w:hAnsi="宋体" w:eastAsia="宋体"/>
                <w:b w:val="0"/>
                <w:sz w:val="21"/>
              </w:rPr>
              <w:t>观测评估</w:t>
            </w:r>
          </w:p>
        </w:tc>
        <w:tc>
          <w:tcPr>
            <w:tcW w:type="dxa" w:w="2929"/>
            <w:vAlign w:val="center"/>
          </w:tcPr>
          <w:p>
            <w:pPr>
              <w:jc w:val="center"/>
            </w:pPr>
            <w:r>
              <w:rPr>
                <w:rFonts w:ascii="宋体" w:hAnsi="宋体" w:eastAsia="宋体"/>
                <w:b w:val="0"/>
                <w:sz w:val="21"/>
              </w:rPr>
              <w:t>Langfuse</w:t>
            </w:r>
          </w:p>
        </w:tc>
        <w:tc>
          <w:tcPr>
            <w:tcW w:type="dxa" w:w="2929"/>
            <w:vAlign w:val="center"/>
          </w:tcPr>
          <w:p>
            <w:pPr>
              <w:jc w:val="center"/>
            </w:pPr>
            <w:r>
              <w:rPr>
                <w:rFonts w:ascii="宋体" w:hAnsi="宋体" w:eastAsia="宋体"/>
                <w:b w:val="0"/>
                <w:sz w:val="21"/>
              </w:rPr>
              <w:t>支持 trace/session、数据集实验和评分[6][7]</w:t>
            </w:r>
          </w:p>
        </w:tc>
      </w:tr>
    </w:tbl>
    <w:p>
      <w:pPr>
        <w:pStyle w:val="Heading2"/>
      </w:pPr>
      <w:r>
        <w:t>6.3 AI 设计时序</w:t>
      </w:r>
    </w:p>
    <w:p>
      <w:pPr>
        <w:pStyle w:val="ListNumber"/>
        <w:spacing w:line="360" w:lineRule="auto"/>
      </w:pPr>
      <w:r>
        <w:t>前端携带用户输入、当前设计基线、会话标识和模式发送请求；</w:t>
      </w:r>
    </w:p>
    <w:p>
      <w:pPr>
        <w:pStyle w:val="ListNumber"/>
        <w:spacing w:line="360" w:lineRule="auto"/>
      </w:pPr>
      <w:r>
        <w:t>网关透传 JWT，AI 服务完成身份校验并建立用户级会话命名空间；</w:t>
      </w:r>
    </w:p>
    <w:p>
      <w:pPr>
        <w:pStyle w:val="ListNumber"/>
        <w:spacing w:line="360" w:lineRule="auto"/>
      </w:pPr>
      <w:r>
        <w:t>prepare 节点标准化基线并拒绝非法设计类型或模式；</w:t>
      </w:r>
    </w:p>
    <w:p>
      <w:pPr>
        <w:pStyle w:val="ListNumber"/>
        <w:spacing w:line="360" w:lineRule="auto"/>
      </w:pPr>
      <w:r>
        <w:t>design 节点先判别设计、追问或回退意图；</w:t>
      </w:r>
    </w:p>
    <w:p>
      <w:pPr>
        <w:pStyle w:val="ListNumber"/>
        <w:spacing w:line="360" w:lineRule="auto"/>
      </w:pPr>
      <w:r>
        <w:t>ReAct 智能体按需调用后端目录检索工具；</w:t>
      </w:r>
    </w:p>
    <w:p>
      <w:pPr>
        <w:pStyle w:val="ListNumber"/>
        <w:spacing w:line="360" w:lineRule="auto"/>
      </w:pPr>
      <w:r>
        <w:t>独立结构化阶段依据 Pydantic Schema 生成最小操作；</w:t>
      </w:r>
    </w:p>
    <w:p>
      <w:pPr>
        <w:pStyle w:val="ListNumber"/>
        <w:spacing w:line="360" w:lineRule="auto"/>
      </w:pPr>
      <w:r>
        <w:t>操作应用器在基线副本上物化候选设计；</w:t>
      </w:r>
    </w:p>
    <w:p>
      <w:pPr>
        <w:pStyle w:val="ListNumber"/>
        <w:spacing w:line="360" w:lineRule="auto"/>
      </w:pPr>
      <w:r>
        <w:t>review 节点执行语法和业务校验，不通过则携带 rule_id 反馈重试；</w:t>
      </w:r>
    </w:p>
    <w:p>
      <w:pPr>
        <w:pStyle w:val="ListNumber"/>
        <w:spacing w:line="360" w:lineRule="auto"/>
      </w:pPr>
      <w:r>
        <w:t>format 节点生成 ready、needs_input 或 error 响应；</w:t>
      </w:r>
    </w:p>
    <w:p>
      <w:pPr>
        <w:pStyle w:val="ListNumber"/>
        <w:spacing w:line="360" w:lineRule="auto"/>
      </w:pPr>
      <w:r>
        <w:t>前端以 SSE 接收进度和最终结果，在设计器中展示预览；</w:t>
      </w:r>
    </w:p>
    <w:p>
      <w:pPr>
        <w:pStyle w:val="ListNumber"/>
        <w:spacing w:line="360" w:lineRule="auto"/>
      </w:pPr>
      <w:r>
        <w:t>用户确认后应用候选设计，取消则原数据保持不变。</w:t>
      </w:r>
    </w:p>
    <w:p>
      <w:r>
        <w:br w:type="page"/>
      </w:r>
    </w:p>
    <w:p>
      <w:pPr>
        <w:pStyle w:val="Heading1"/>
        <w:jc w:val="center"/>
      </w:pPr>
      <w:r>
        <w:t>七、研究方法</w:t>
      </w:r>
    </w:p>
    <w:p>
      <w:pPr>
        <w:pStyle w:val="Heading2"/>
      </w:pPr>
      <w:r>
        <w:t>7.1 文献研究法</w:t>
      </w:r>
    </w:p>
    <w:p>
      <w:pPr>
        <w:spacing w:line="360" w:lineRule="auto"/>
        <w:ind w:firstLine="480"/>
      </w:pPr>
      <w:r>
        <w:t>查阅 BPMN 2.0.2 标准、Flowable 引擎文档、LangGraph 持久化机制、ReAct 论文和大模型可观测评估资料，确定领域模型和技术边界。</w:t>
      </w:r>
    </w:p>
    <w:p>
      <w:pPr>
        <w:pStyle w:val="Heading2"/>
      </w:pPr>
      <w:r>
        <w:t>7.2 软件工程方法</w:t>
      </w:r>
    </w:p>
    <w:p>
      <w:pPr>
        <w:spacing w:line="360" w:lineRule="auto"/>
        <w:ind w:firstLine="480"/>
      </w:pPr>
      <w:r>
        <w:t>采用分层架构和模块化设计，将 API、工作流编排、设计领域、模型运行时、后端集成及基础设施分离。通过接口契约明确 Vue 前端、Java 微服务和 Python AI 服务之间的职责。</w:t>
      </w:r>
    </w:p>
    <w:p>
      <w:pPr>
        <w:pStyle w:val="Heading2"/>
      </w:pPr>
      <w:r>
        <w:t>7.3 实验与测试方法</w:t>
      </w:r>
    </w:p>
    <w:p>
      <w:pPr>
        <w:spacing w:line="360" w:lineRule="auto"/>
        <w:ind w:firstLine="480"/>
      </w:pPr>
      <w:r>
        <w:t>使用单元测试验证操作应用、BPMN/VForm3 转换、校验规则、模型降级和提示词版本；使用集成测试验证完整工作流；使用系统测试覆盖认证、SSE、真实模型、Redis checkpoint 与固定后端目录数据。利用黄金数据集比较不同提示词和模型版本下的稳定契约得分。</w:t>
      </w:r>
    </w:p>
    <w:p>
      <w:pPr>
        <w:pStyle w:val="Heading2"/>
      </w:pPr>
      <w:r>
        <w:t>7.4 对比分析法</w:t>
      </w:r>
    </w:p>
    <w:p>
      <w:pPr>
        <w:spacing w:line="360" w:lineRule="auto"/>
        <w:ind w:firstLine="480"/>
      </w:pPr>
      <w:r>
        <w:t>对比“完整结果覆盖”和“增量操作修改”、“纯模型生成”和“检索加校验”、“一次性响应”和“SSE 流式响应”三组方案，从数据安全、可解释性、用户体验和测试可重复性方面分析设计取舍。</w:t>
      </w:r>
    </w:p>
    <w:p>
      <w:r>
        <w:br w:type="page"/>
      </w:r>
    </w:p>
    <w:p>
      <w:pPr>
        <w:pStyle w:val="Heading1"/>
        <w:jc w:val="center"/>
      </w:pPr>
      <w:r>
        <w:t>八、可行性分析</w:t>
      </w:r>
    </w:p>
    <w:p>
      <w:pPr>
        <w:pStyle w:val="Heading2"/>
      </w:pPr>
      <w:r>
        <w:t>8.1 技术可行性</w:t>
      </w:r>
    </w:p>
    <w:p>
      <w:pPr>
        <w:spacing w:line="360" w:lineRule="auto"/>
        <w:ind w:firstLine="480"/>
      </w:pPr>
      <w:r>
        <w:t>项目所采用的 Vue、Spring Cloud、Flowable、FastAPI、LangGraph、Redis 等均有成熟文档和社区基础。BPMN 2.0 提供标准交换格式，Flowable 可直接部署生成的 XML。现有代码已经形成前端、Java 微服务和 AI 服务三部分，核心链路具备可运行实现，因此技术风险可控。</w:t>
      </w:r>
    </w:p>
    <w:p>
      <w:pPr>
        <w:pStyle w:val="Heading2"/>
      </w:pPr>
      <w:r>
        <w:t>8.2 经济可行性</w:t>
      </w:r>
    </w:p>
    <w:p>
      <w:pPr>
        <w:spacing w:line="360" w:lineRule="auto"/>
        <w:ind w:firstLine="480"/>
      </w:pPr>
      <w:r>
        <w:t>主体框架与中间件采用开源软件，本地可使用兼容 OpenAI 协议的模型服务，也可按配置接入云端模型。通过 Provider 优先级、最大重试次数和功能开关控制调用成本。系统适合作为本科阶段原型和中小规模组织的二次开发基础。</w:t>
      </w:r>
    </w:p>
    <w:p>
      <w:pPr>
        <w:pStyle w:val="Heading2"/>
      </w:pPr>
      <w:r>
        <w:t>8.3 操作可行性</w:t>
      </w:r>
    </w:p>
    <w:p>
      <w:pPr>
        <w:spacing w:line="360" w:lineRule="auto"/>
        <w:ind w:firstLine="480"/>
      </w:pPr>
      <w:r>
        <w:t>前端提供可视化流程设计器和表单设计器，AI 结果不会直接覆盖正式数据。用户只需描述业务需求并确认预览，无需掌握 XML。系统保留传统人工编辑能力，因此 AI 不可用时仍可完成核心审批配置。</w:t>
      </w:r>
    </w:p>
    <w:p>
      <w:pPr>
        <w:pStyle w:val="Heading2"/>
      </w:pPr>
      <w:r>
        <w:t>8.4 安全与合规可行性</w:t>
      </w:r>
    </w:p>
    <w:p>
      <w:pPr>
        <w:spacing w:line="360" w:lineRule="auto"/>
        <w:ind w:firstLine="480"/>
      </w:pPr>
      <w:r>
        <w:t>认证沿用网关 JWT，AI 服务只接收经过认证的用户信息；密钥由环境变量管理，不写入代码；日志与 Langfuse 元数据不记录 API Key。真实对话进入黄金数据集前需要匿名化。对删除、部署等有副作用操作仍由业务端权限和用户确认控制。</w:t>
      </w:r>
    </w:p>
    <w:p>
      <w:r>
        <w:br w:type="page"/>
      </w:r>
    </w:p>
    <w:p>
      <w:pPr>
        <w:pStyle w:val="Heading1"/>
        <w:jc w:val="center"/>
      </w:pPr>
      <w:r>
        <w:t>九、预期创新点</w:t>
      </w:r>
    </w:p>
    <w:p>
      <w:pPr>
        <w:pStyle w:val="ListNumber"/>
        <w:spacing w:line="360" w:lineRule="auto"/>
      </w:pPr>
      <w:r>
        <w:t>面向流程领域的增量操作协议：模型输出最小变更，避免完整 JSON/XML 重写造成信息丢失；</w:t>
      </w:r>
    </w:p>
    <w:p>
      <w:pPr>
        <w:pStyle w:val="ListNumber"/>
        <w:spacing w:line="360" w:lineRule="auto"/>
      </w:pPr>
      <w:r>
        <w:t>概率生成与确定性验证结合：将 Schema、BPMN/VForm3 语法和业务规则组成多层验证闭环；</w:t>
      </w:r>
    </w:p>
    <w:p>
      <w:pPr>
        <w:pStyle w:val="ListNumber"/>
        <w:spacing w:line="360" w:lineRule="auto"/>
      </w:pPr>
      <w:r>
        <w:t>企业目录感知的 ReAct 设计：生成前检索真实角色、分类和表单，生成后再次核验引用；</w:t>
      </w:r>
    </w:p>
    <w:p>
      <w:pPr>
        <w:pStyle w:val="ListNumber"/>
        <w:spacing w:line="360" w:lineRule="auto"/>
      </w:pPr>
      <w:r>
        <w:t>预览优先的安全交互：成功结果只是候选变更，必须经用户确认才应用；失败不返回可覆盖草稿；</w:t>
      </w:r>
    </w:p>
    <w:p>
      <w:pPr>
        <w:pStyle w:val="ListNumber"/>
        <w:spacing w:line="360" w:lineRule="auto"/>
      </w:pPr>
      <w:r>
        <w:t>面向持续迭代的观测评估：提示词 Markdown 版本、稳定灰度、Langfuse trace 与单轮/多轮黄金数据集形成闭环；</w:t>
      </w:r>
    </w:p>
    <w:p>
      <w:pPr>
        <w:pStyle w:val="ListNumber"/>
        <w:spacing w:line="360" w:lineRule="auto"/>
      </w:pPr>
      <w:r>
        <w:t>流式场景下的精确降级语义：首 token 前允许 Provider 切换，输出后禁止重放，兼顾可用性与内容一致性。</w:t>
      </w:r>
    </w:p>
    <w:p>
      <w:r>
        <w:br w:type="page"/>
      </w:r>
    </w:p>
    <w:p>
      <w:pPr>
        <w:pStyle w:val="Heading1"/>
        <w:jc w:val="center"/>
      </w:pPr>
      <w:r>
        <w:t>十、进度安排</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宋体" w:hAnsi="宋体" w:eastAsia="宋体"/>
                <w:b/>
                <w:sz w:val="21"/>
              </w:rPr>
              <w:t>阶段</w:t>
            </w:r>
          </w:p>
        </w:tc>
        <w:tc>
          <w:tcPr>
            <w:tcW w:type="dxa" w:w="2197"/>
            <w:vAlign w:val="center"/>
          </w:tcPr>
          <w:p>
            <w:pPr>
              <w:jc w:val="center"/>
            </w:pPr>
            <w:r>
              <w:rPr>
                <w:rFonts w:ascii="宋体" w:hAnsi="宋体" w:eastAsia="宋体"/>
                <w:b/>
                <w:sz w:val="21"/>
              </w:rPr>
              <w:t>周次</w:t>
            </w:r>
          </w:p>
        </w:tc>
        <w:tc>
          <w:tcPr>
            <w:tcW w:type="dxa" w:w="2197"/>
            <w:vAlign w:val="center"/>
          </w:tcPr>
          <w:p>
            <w:pPr>
              <w:jc w:val="center"/>
            </w:pPr>
            <w:r>
              <w:rPr>
                <w:rFonts w:ascii="宋体" w:hAnsi="宋体" w:eastAsia="宋体"/>
                <w:b/>
                <w:sz w:val="21"/>
              </w:rPr>
              <w:t>主要任务</w:t>
            </w:r>
          </w:p>
        </w:tc>
        <w:tc>
          <w:tcPr>
            <w:tcW w:type="dxa" w:w="2197"/>
            <w:vAlign w:val="center"/>
          </w:tcPr>
          <w:p>
            <w:pPr>
              <w:jc w:val="center"/>
            </w:pPr>
            <w:r>
              <w:rPr>
                <w:rFonts w:ascii="宋体" w:hAnsi="宋体" w:eastAsia="宋体"/>
                <w:b/>
                <w:sz w:val="21"/>
              </w:rPr>
              <w:t>阶段成果</w:t>
            </w:r>
          </w:p>
        </w:tc>
      </w:tr>
      <w:tr>
        <w:tc>
          <w:tcPr>
            <w:tcW w:type="dxa" w:w="2197"/>
            <w:vAlign w:val="center"/>
          </w:tcPr>
          <w:p>
            <w:pPr>
              <w:jc w:val="center"/>
            </w:pPr>
            <w:r>
              <w:rPr>
                <w:rFonts w:ascii="宋体" w:hAnsi="宋体" w:eastAsia="宋体"/>
                <w:b w:val="0"/>
                <w:sz w:val="21"/>
              </w:rPr>
              <w:t>需求与调研</w:t>
            </w:r>
          </w:p>
        </w:tc>
        <w:tc>
          <w:tcPr>
            <w:tcW w:type="dxa" w:w="2197"/>
            <w:vAlign w:val="center"/>
          </w:tcPr>
          <w:p>
            <w:pPr>
              <w:jc w:val="center"/>
            </w:pPr>
            <w:r>
              <w:rPr>
                <w:rFonts w:ascii="宋体" w:hAnsi="宋体" w:eastAsia="宋体"/>
                <w:b w:val="0"/>
                <w:sz w:val="21"/>
              </w:rPr>
              <w:t>第1—2周</w:t>
            </w:r>
          </w:p>
        </w:tc>
        <w:tc>
          <w:tcPr>
            <w:tcW w:type="dxa" w:w="2197"/>
            <w:vAlign w:val="center"/>
          </w:tcPr>
          <w:p>
            <w:pPr>
              <w:jc w:val="center"/>
            </w:pPr>
            <w:r>
              <w:rPr>
                <w:rFonts w:ascii="宋体" w:hAnsi="宋体" w:eastAsia="宋体"/>
                <w:b w:val="0"/>
                <w:sz w:val="21"/>
              </w:rPr>
              <w:t>分析审批业务、BPMN 标准和大模型编排方案</w:t>
            </w:r>
          </w:p>
        </w:tc>
        <w:tc>
          <w:tcPr>
            <w:tcW w:type="dxa" w:w="2197"/>
            <w:vAlign w:val="center"/>
          </w:tcPr>
          <w:p>
            <w:pPr>
              <w:jc w:val="center"/>
            </w:pPr>
            <w:r>
              <w:rPr>
                <w:rFonts w:ascii="宋体" w:hAnsi="宋体" w:eastAsia="宋体"/>
                <w:b w:val="0"/>
                <w:sz w:val="21"/>
              </w:rPr>
              <w:t>需求说明、开题报告</w:t>
            </w:r>
          </w:p>
        </w:tc>
      </w:tr>
      <w:tr>
        <w:tc>
          <w:tcPr>
            <w:tcW w:type="dxa" w:w="2197"/>
            <w:vAlign w:val="center"/>
          </w:tcPr>
          <w:p>
            <w:pPr>
              <w:jc w:val="center"/>
            </w:pPr>
            <w:r>
              <w:rPr>
                <w:rFonts w:ascii="宋体" w:hAnsi="宋体" w:eastAsia="宋体"/>
                <w:b w:val="0"/>
                <w:sz w:val="21"/>
              </w:rPr>
              <w:t>总体设计</w:t>
            </w:r>
          </w:p>
        </w:tc>
        <w:tc>
          <w:tcPr>
            <w:tcW w:type="dxa" w:w="2197"/>
            <w:vAlign w:val="center"/>
          </w:tcPr>
          <w:p>
            <w:pPr>
              <w:jc w:val="center"/>
            </w:pPr>
            <w:r>
              <w:rPr>
                <w:rFonts w:ascii="宋体" w:hAnsi="宋体" w:eastAsia="宋体"/>
                <w:b w:val="0"/>
                <w:sz w:val="21"/>
              </w:rPr>
              <w:t>第3—4周</w:t>
            </w:r>
          </w:p>
        </w:tc>
        <w:tc>
          <w:tcPr>
            <w:tcW w:type="dxa" w:w="2197"/>
            <w:vAlign w:val="center"/>
          </w:tcPr>
          <w:p>
            <w:pPr>
              <w:jc w:val="center"/>
            </w:pPr>
            <w:r>
              <w:rPr>
                <w:rFonts w:ascii="宋体" w:hAnsi="宋体" w:eastAsia="宋体"/>
                <w:b w:val="0"/>
                <w:sz w:val="21"/>
              </w:rPr>
              <w:t>完成系统架构、数据库、接口和 AI 状态机设计</w:t>
            </w:r>
          </w:p>
        </w:tc>
        <w:tc>
          <w:tcPr>
            <w:tcW w:type="dxa" w:w="2197"/>
            <w:vAlign w:val="center"/>
          </w:tcPr>
          <w:p>
            <w:pPr>
              <w:jc w:val="center"/>
            </w:pPr>
            <w:r>
              <w:rPr>
                <w:rFonts w:ascii="宋体" w:hAnsi="宋体" w:eastAsia="宋体"/>
                <w:b w:val="0"/>
                <w:sz w:val="21"/>
              </w:rPr>
              <w:t>总体设计文档、原型图</w:t>
            </w:r>
          </w:p>
        </w:tc>
      </w:tr>
      <w:tr>
        <w:tc>
          <w:tcPr>
            <w:tcW w:type="dxa" w:w="2197"/>
            <w:vAlign w:val="center"/>
          </w:tcPr>
          <w:p>
            <w:pPr>
              <w:jc w:val="center"/>
            </w:pPr>
            <w:r>
              <w:rPr>
                <w:rFonts w:ascii="宋体" w:hAnsi="宋体" w:eastAsia="宋体"/>
                <w:b w:val="0"/>
                <w:sz w:val="21"/>
              </w:rPr>
              <w:t>基础业务实现</w:t>
            </w:r>
          </w:p>
        </w:tc>
        <w:tc>
          <w:tcPr>
            <w:tcW w:type="dxa" w:w="2197"/>
            <w:vAlign w:val="center"/>
          </w:tcPr>
          <w:p>
            <w:pPr>
              <w:jc w:val="center"/>
            </w:pPr>
            <w:r>
              <w:rPr>
                <w:rFonts w:ascii="宋体" w:hAnsi="宋体" w:eastAsia="宋体"/>
                <w:b w:val="0"/>
                <w:sz w:val="21"/>
              </w:rPr>
              <w:t>第5—7周</w:t>
            </w:r>
          </w:p>
        </w:tc>
        <w:tc>
          <w:tcPr>
            <w:tcW w:type="dxa" w:w="2197"/>
            <w:vAlign w:val="center"/>
          </w:tcPr>
          <w:p>
            <w:pPr>
              <w:jc w:val="center"/>
            </w:pPr>
            <w:r>
              <w:rPr>
                <w:rFonts w:ascii="宋体" w:hAnsi="宋体" w:eastAsia="宋体"/>
                <w:b w:val="0"/>
                <w:sz w:val="21"/>
              </w:rPr>
              <w:t>完成认证、流程管理、表单管理、审批中心</w:t>
            </w:r>
          </w:p>
        </w:tc>
        <w:tc>
          <w:tcPr>
            <w:tcW w:type="dxa" w:w="2197"/>
            <w:vAlign w:val="center"/>
          </w:tcPr>
          <w:p>
            <w:pPr>
              <w:jc w:val="center"/>
            </w:pPr>
            <w:r>
              <w:rPr>
                <w:rFonts w:ascii="宋体" w:hAnsi="宋体" w:eastAsia="宋体"/>
                <w:b w:val="0"/>
                <w:sz w:val="21"/>
              </w:rPr>
              <w:t>可运行的基础审批系统</w:t>
            </w:r>
          </w:p>
        </w:tc>
      </w:tr>
      <w:tr>
        <w:tc>
          <w:tcPr>
            <w:tcW w:type="dxa" w:w="2197"/>
            <w:vAlign w:val="center"/>
          </w:tcPr>
          <w:p>
            <w:pPr>
              <w:jc w:val="center"/>
            </w:pPr>
            <w:r>
              <w:rPr>
                <w:rFonts w:ascii="宋体" w:hAnsi="宋体" w:eastAsia="宋体"/>
                <w:b w:val="0"/>
                <w:sz w:val="21"/>
              </w:rPr>
              <w:t>AI 设计实现</w:t>
            </w:r>
          </w:p>
        </w:tc>
        <w:tc>
          <w:tcPr>
            <w:tcW w:type="dxa" w:w="2197"/>
            <w:vAlign w:val="center"/>
          </w:tcPr>
          <w:p>
            <w:pPr>
              <w:jc w:val="center"/>
            </w:pPr>
            <w:r>
              <w:rPr>
                <w:rFonts w:ascii="宋体" w:hAnsi="宋体" w:eastAsia="宋体"/>
                <w:b w:val="0"/>
                <w:sz w:val="21"/>
              </w:rPr>
              <w:t>第8—10周</w:t>
            </w:r>
          </w:p>
        </w:tc>
        <w:tc>
          <w:tcPr>
            <w:tcW w:type="dxa" w:w="2197"/>
            <w:vAlign w:val="center"/>
          </w:tcPr>
          <w:p>
            <w:pPr>
              <w:jc w:val="center"/>
            </w:pPr>
            <w:r>
              <w:rPr>
                <w:rFonts w:ascii="宋体" w:hAnsi="宋体" w:eastAsia="宋体"/>
                <w:b w:val="0"/>
                <w:sz w:val="21"/>
              </w:rPr>
              <w:t>完成 ReAct 检索、结构化输出、增量操作和校验</w:t>
            </w:r>
          </w:p>
        </w:tc>
        <w:tc>
          <w:tcPr>
            <w:tcW w:type="dxa" w:w="2197"/>
            <w:vAlign w:val="center"/>
          </w:tcPr>
          <w:p>
            <w:pPr>
              <w:jc w:val="center"/>
            </w:pPr>
            <w:r>
              <w:rPr>
                <w:rFonts w:ascii="宋体" w:hAnsi="宋体" w:eastAsia="宋体"/>
                <w:b w:val="0"/>
                <w:sz w:val="21"/>
              </w:rPr>
              <w:t>分类/流程/表单 AI 设计</w:t>
            </w:r>
          </w:p>
        </w:tc>
      </w:tr>
      <w:tr>
        <w:tc>
          <w:tcPr>
            <w:tcW w:type="dxa" w:w="2197"/>
            <w:vAlign w:val="center"/>
          </w:tcPr>
          <w:p>
            <w:pPr>
              <w:jc w:val="center"/>
            </w:pPr>
            <w:r>
              <w:rPr>
                <w:rFonts w:ascii="宋体" w:hAnsi="宋体" w:eastAsia="宋体"/>
                <w:b w:val="0"/>
                <w:sz w:val="21"/>
              </w:rPr>
              <w:t>可靠性建设</w:t>
            </w:r>
          </w:p>
        </w:tc>
        <w:tc>
          <w:tcPr>
            <w:tcW w:type="dxa" w:w="2197"/>
            <w:vAlign w:val="center"/>
          </w:tcPr>
          <w:p>
            <w:pPr>
              <w:jc w:val="center"/>
            </w:pPr>
            <w:r>
              <w:rPr>
                <w:rFonts w:ascii="宋体" w:hAnsi="宋体" w:eastAsia="宋体"/>
                <w:b w:val="0"/>
                <w:sz w:val="21"/>
              </w:rPr>
              <w:t>第11—12周</w:t>
            </w:r>
          </w:p>
        </w:tc>
        <w:tc>
          <w:tcPr>
            <w:tcW w:type="dxa" w:w="2197"/>
            <w:vAlign w:val="center"/>
          </w:tcPr>
          <w:p>
            <w:pPr>
              <w:jc w:val="center"/>
            </w:pPr>
            <w:r>
              <w:rPr>
                <w:rFonts w:ascii="宋体" w:hAnsi="宋体" w:eastAsia="宋体"/>
                <w:b w:val="0"/>
                <w:sz w:val="21"/>
              </w:rPr>
              <w:t>完成 Redis 状态、流式输出、模型降级和错误兜底</w:t>
            </w:r>
          </w:p>
        </w:tc>
        <w:tc>
          <w:tcPr>
            <w:tcW w:type="dxa" w:w="2197"/>
            <w:vAlign w:val="center"/>
          </w:tcPr>
          <w:p>
            <w:pPr>
              <w:jc w:val="center"/>
            </w:pPr>
            <w:r>
              <w:rPr>
                <w:rFonts w:ascii="宋体" w:hAnsi="宋体" w:eastAsia="宋体"/>
                <w:b w:val="0"/>
                <w:sz w:val="21"/>
              </w:rPr>
              <w:t>稳定的完整调用链</w:t>
            </w:r>
          </w:p>
        </w:tc>
      </w:tr>
      <w:tr>
        <w:tc>
          <w:tcPr>
            <w:tcW w:type="dxa" w:w="2197"/>
            <w:vAlign w:val="center"/>
          </w:tcPr>
          <w:p>
            <w:pPr>
              <w:jc w:val="center"/>
            </w:pPr>
            <w:r>
              <w:rPr>
                <w:rFonts w:ascii="宋体" w:hAnsi="宋体" w:eastAsia="宋体"/>
                <w:b w:val="0"/>
                <w:sz w:val="21"/>
              </w:rPr>
              <w:t>观测与评估</w:t>
            </w:r>
          </w:p>
        </w:tc>
        <w:tc>
          <w:tcPr>
            <w:tcW w:type="dxa" w:w="2197"/>
            <w:vAlign w:val="center"/>
          </w:tcPr>
          <w:p>
            <w:pPr>
              <w:jc w:val="center"/>
            </w:pPr>
            <w:r>
              <w:rPr>
                <w:rFonts w:ascii="宋体" w:hAnsi="宋体" w:eastAsia="宋体"/>
                <w:b w:val="0"/>
                <w:sz w:val="21"/>
              </w:rPr>
              <w:t>第13周</w:t>
            </w:r>
          </w:p>
        </w:tc>
        <w:tc>
          <w:tcPr>
            <w:tcW w:type="dxa" w:w="2197"/>
            <w:vAlign w:val="center"/>
          </w:tcPr>
          <w:p>
            <w:pPr>
              <w:jc w:val="center"/>
            </w:pPr>
            <w:r>
              <w:rPr>
                <w:rFonts w:ascii="宋体" w:hAnsi="宋体" w:eastAsia="宋体"/>
                <w:b w:val="0"/>
                <w:sz w:val="21"/>
              </w:rPr>
              <w:t>接入 Langfuse、提示词版本和黄金数据集</w:t>
            </w:r>
          </w:p>
        </w:tc>
        <w:tc>
          <w:tcPr>
            <w:tcW w:type="dxa" w:w="2197"/>
            <w:vAlign w:val="center"/>
          </w:tcPr>
          <w:p>
            <w:pPr>
              <w:jc w:val="center"/>
            </w:pPr>
            <w:r>
              <w:rPr>
                <w:rFonts w:ascii="宋体" w:hAnsi="宋体" w:eastAsia="宋体"/>
                <w:b w:val="0"/>
                <w:sz w:val="21"/>
              </w:rPr>
              <w:t>链路看板、评估脚本</w:t>
            </w:r>
          </w:p>
        </w:tc>
      </w:tr>
      <w:tr>
        <w:tc>
          <w:tcPr>
            <w:tcW w:type="dxa" w:w="2197"/>
            <w:vAlign w:val="center"/>
          </w:tcPr>
          <w:p>
            <w:pPr>
              <w:jc w:val="center"/>
            </w:pPr>
            <w:r>
              <w:rPr>
                <w:rFonts w:ascii="宋体" w:hAnsi="宋体" w:eastAsia="宋体"/>
                <w:b w:val="0"/>
                <w:sz w:val="21"/>
              </w:rPr>
              <w:t>测试与优化</w:t>
            </w:r>
          </w:p>
        </w:tc>
        <w:tc>
          <w:tcPr>
            <w:tcW w:type="dxa" w:w="2197"/>
            <w:vAlign w:val="center"/>
          </w:tcPr>
          <w:p>
            <w:pPr>
              <w:jc w:val="center"/>
            </w:pPr>
            <w:r>
              <w:rPr>
                <w:rFonts w:ascii="宋体" w:hAnsi="宋体" w:eastAsia="宋体"/>
                <w:b w:val="0"/>
                <w:sz w:val="21"/>
              </w:rPr>
              <w:t>第14—15周</w:t>
            </w:r>
          </w:p>
        </w:tc>
        <w:tc>
          <w:tcPr>
            <w:tcW w:type="dxa" w:w="2197"/>
            <w:vAlign w:val="center"/>
          </w:tcPr>
          <w:p>
            <w:pPr>
              <w:jc w:val="center"/>
            </w:pPr>
            <w:r>
              <w:rPr>
                <w:rFonts w:ascii="宋体" w:hAnsi="宋体" w:eastAsia="宋体"/>
                <w:b w:val="0"/>
                <w:sz w:val="21"/>
              </w:rPr>
              <w:t>单元、集成、系统测试及性能和体验优化</w:t>
            </w:r>
          </w:p>
        </w:tc>
        <w:tc>
          <w:tcPr>
            <w:tcW w:type="dxa" w:w="2197"/>
            <w:vAlign w:val="center"/>
          </w:tcPr>
          <w:p>
            <w:pPr>
              <w:jc w:val="center"/>
            </w:pPr>
            <w:r>
              <w:rPr>
                <w:rFonts w:ascii="宋体" w:hAnsi="宋体" w:eastAsia="宋体"/>
                <w:b w:val="0"/>
                <w:sz w:val="21"/>
              </w:rPr>
              <w:t>测试报告、问题清单</w:t>
            </w:r>
          </w:p>
        </w:tc>
      </w:tr>
      <w:tr>
        <w:tc>
          <w:tcPr>
            <w:tcW w:type="dxa" w:w="2197"/>
            <w:vAlign w:val="center"/>
          </w:tcPr>
          <w:p>
            <w:pPr>
              <w:jc w:val="center"/>
            </w:pPr>
            <w:r>
              <w:rPr>
                <w:rFonts w:ascii="宋体" w:hAnsi="宋体" w:eastAsia="宋体"/>
                <w:b w:val="0"/>
                <w:sz w:val="21"/>
              </w:rPr>
              <w:t>论文与答辩</w:t>
            </w:r>
          </w:p>
        </w:tc>
        <w:tc>
          <w:tcPr>
            <w:tcW w:type="dxa" w:w="2197"/>
            <w:vAlign w:val="center"/>
          </w:tcPr>
          <w:p>
            <w:pPr>
              <w:jc w:val="center"/>
            </w:pPr>
            <w:r>
              <w:rPr>
                <w:rFonts w:ascii="宋体" w:hAnsi="宋体" w:eastAsia="宋体"/>
                <w:b w:val="0"/>
                <w:sz w:val="21"/>
              </w:rPr>
              <w:t>第16周</w:t>
            </w:r>
          </w:p>
        </w:tc>
        <w:tc>
          <w:tcPr>
            <w:tcW w:type="dxa" w:w="2197"/>
            <w:vAlign w:val="center"/>
          </w:tcPr>
          <w:p>
            <w:pPr>
              <w:jc w:val="center"/>
            </w:pPr>
            <w:r>
              <w:rPr>
                <w:rFonts w:ascii="宋体" w:hAnsi="宋体" w:eastAsia="宋体"/>
                <w:b w:val="0"/>
                <w:sz w:val="21"/>
              </w:rPr>
              <w:t>整理论文、演示材料和答辩 PPT</w:t>
            </w:r>
          </w:p>
        </w:tc>
        <w:tc>
          <w:tcPr>
            <w:tcW w:type="dxa" w:w="2197"/>
            <w:vAlign w:val="center"/>
          </w:tcPr>
          <w:p>
            <w:pPr>
              <w:jc w:val="center"/>
            </w:pPr>
            <w:r>
              <w:rPr>
                <w:rFonts w:ascii="宋体" w:hAnsi="宋体" w:eastAsia="宋体"/>
                <w:b w:val="0"/>
                <w:sz w:val="21"/>
              </w:rPr>
              <w:t>论文定稿、答辩材料</w:t>
            </w:r>
          </w:p>
        </w:tc>
      </w:tr>
    </w:tbl>
    <w:p>
      <w:r>
        <w:br w:type="page"/>
      </w:r>
    </w:p>
    <w:p>
      <w:pPr>
        <w:pStyle w:val="Heading1"/>
        <w:jc w:val="center"/>
      </w:pPr>
      <w:r>
        <w:t>十一、预期成果</w:t>
      </w:r>
    </w:p>
    <w:p>
      <w:pPr>
        <w:pStyle w:val="ListNumber"/>
        <w:spacing w:line="360" w:lineRule="auto"/>
      </w:pPr>
      <w:r>
        <w:t>一套可部署运行的 FlowMind 智能流程审批系统源代码；</w:t>
      </w:r>
    </w:p>
    <w:p>
      <w:pPr>
        <w:pStyle w:val="ListNumber"/>
        <w:spacing w:line="360" w:lineRule="auto"/>
      </w:pPr>
      <w:r>
        <w:t>支持流程分类、BPMN 模型和 VForm3 表单的自然语言设计与增量修改；</w:t>
      </w:r>
    </w:p>
    <w:p>
      <w:pPr>
        <w:pStyle w:val="ListNumber"/>
        <w:spacing w:line="360" w:lineRule="auto"/>
      </w:pPr>
      <w:r>
        <w:t>支持审批任务、草稿、流程部署和历史管理的 Web 应用；</w:t>
      </w:r>
    </w:p>
    <w:p>
      <w:pPr>
        <w:pStyle w:val="ListNumber"/>
        <w:spacing w:line="360" w:lineRule="auto"/>
      </w:pPr>
      <w:r>
        <w:t>一套覆盖语法、业务和模型链路的自动化测试；</w:t>
      </w:r>
    </w:p>
    <w:p>
      <w:pPr>
        <w:pStyle w:val="ListNumber"/>
        <w:spacing w:line="360" w:lineRule="auto"/>
      </w:pPr>
      <w:r>
        <w:t>一套可版本化的提示词和单轮/多轮黄金数据集；</w:t>
      </w:r>
    </w:p>
    <w:p>
      <w:pPr>
        <w:pStyle w:val="ListNumber"/>
        <w:spacing w:line="360" w:lineRule="auto"/>
      </w:pPr>
      <w:r>
        <w:t>Langfuse 全链路观测及评估结果；</w:t>
      </w:r>
    </w:p>
    <w:p>
      <w:pPr>
        <w:pStyle w:val="ListNumber"/>
        <w:spacing w:line="360" w:lineRule="auto"/>
      </w:pPr>
      <w:r>
        <w:t>本科毕业设计论文、系统使用说明及演示材料。</w:t>
      </w:r>
    </w:p>
    <w:p>
      <w:r>
        <w:br w:type="page"/>
      </w:r>
    </w:p>
    <w:p>
      <w:pPr>
        <w:pStyle w:val="Heading1"/>
        <w:jc w:val="center"/>
      </w:pPr>
      <w:r>
        <w:t>十二、风险与应对措施</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宋体" w:hAnsi="宋体" w:eastAsia="宋体"/>
                <w:b/>
                <w:sz w:val="21"/>
              </w:rPr>
              <w:t>风险</w:t>
            </w:r>
          </w:p>
        </w:tc>
        <w:tc>
          <w:tcPr>
            <w:tcW w:type="dxa" w:w="2929"/>
            <w:vAlign w:val="center"/>
          </w:tcPr>
          <w:p>
            <w:pPr>
              <w:jc w:val="center"/>
            </w:pPr>
            <w:r>
              <w:rPr>
                <w:rFonts w:ascii="宋体" w:hAnsi="宋体" w:eastAsia="宋体"/>
                <w:b/>
                <w:sz w:val="21"/>
              </w:rPr>
              <w:t>表现</w:t>
            </w:r>
          </w:p>
        </w:tc>
        <w:tc>
          <w:tcPr>
            <w:tcW w:type="dxa" w:w="2929"/>
            <w:vAlign w:val="center"/>
          </w:tcPr>
          <w:p>
            <w:pPr>
              <w:jc w:val="center"/>
            </w:pPr>
            <w:r>
              <w:rPr>
                <w:rFonts w:ascii="宋体" w:hAnsi="宋体" w:eastAsia="宋体"/>
                <w:b/>
                <w:sz w:val="21"/>
              </w:rPr>
              <w:t>应对措施</w:t>
            </w:r>
          </w:p>
        </w:tc>
      </w:tr>
      <w:tr>
        <w:tc>
          <w:tcPr>
            <w:tcW w:type="dxa" w:w="2929"/>
            <w:vAlign w:val="center"/>
          </w:tcPr>
          <w:p>
            <w:pPr>
              <w:jc w:val="center"/>
            </w:pPr>
            <w:r>
              <w:rPr>
                <w:rFonts w:ascii="宋体" w:hAnsi="宋体" w:eastAsia="宋体"/>
                <w:b w:val="0"/>
                <w:sz w:val="21"/>
              </w:rPr>
              <w:t>模型输出不稳定</w:t>
            </w:r>
          </w:p>
        </w:tc>
        <w:tc>
          <w:tcPr>
            <w:tcW w:type="dxa" w:w="2929"/>
            <w:vAlign w:val="center"/>
          </w:tcPr>
          <w:p>
            <w:pPr>
              <w:jc w:val="center"/>
            </w:pPr>
            <w:r>
              <w:rPr>
                <w:rFonts w:ascii="宋体" w:hAnsi="宋体" w:eastAsia="宋体"/>
                <w:b w:val="0"/>
                <w:sz w:val="21"/>
              </w:rPr>
              <w:t>字段缺失、错误节点、格式不兼容</w:t>
            </w:r>
          </w:p>
        </w:tc>
        <w:tc>
          <w:tcPr>
            <w:tcW w:type="dxa" w:w="2929"/>
            <w:vAlign w:val="center"/>
          </w:tcPr>
          <w:p>
            <w:pPr>
              <w:jc w:val="center"/>
            </w:pPr>
            <w:r>
              <w:rPr>
                <w:rFonts w:ascii="宋体" w:hAnsi="宋体" w:eastAsia="宋体"/>
                <w:b w:val="0"/>
                <w:sz w:val="21"/>
              </w:rPr>
              <w:t>结构化输出、规则校验、有限重试和黄金集回归</w:t>
            </w:r>
          </w:p>
        </w:tc>
      </w:tr>
      <w:tr>
        <w:tc>
          <w:tcPr>
            <w:tcW w:type="dxa" w:w="2929"/>
            <w:vAlign w:val="center"/>
          </w:tcPr>
          <w:p>
            <w:pPr>
              <w:jc w:val="center"/>
            </w:pPr>
            <w:r>
              <w:rPr>
                <w:rFonts w:ascii="宋体" w:hAnsi="宋体" w:eastAsia="宋体"/>
                <w:b w:val="0"/>
                <w:sz w:val="21"/>
              </w:rPr>
              <w:t>外部模型故障</w:t>
            </w:r>
          </w:p>
        </w:tc>
        <w:tc>
          <w:tcPr>
            <w:tcW w:type="dxa" w:w="2929"/>
            <w:vAlign w:val="center"/>
          </w:tcPr>
          <w:p>
            <w:pPr>
              <w:jc w:val="center"/>
            </w:pPr>
            <w:r>
              <w:rPr>
                <w:rFonts w:ascii="宋体" w:hAnsi="宋体" w:eastAsia="宋体"/>
                <w:b w:val="0"/>
                <w:sz w:val="21"/>
              </w:rPr>
              <w:t>超时、限流或接口差异</w:t>
            </w:r>
          </w:p>
        </w:tc>
        <w:tc>
          <w:tcPr>
            <w:tcW w:type="dxa" w:w="2929"/>
            <w:vAlign w:val="center"/>
          </w:tcPr>
          <w:p>
            <w:pPr>
              <w:jc w:val="center"/>
            </w:pPr>
            <w:r>
              <w:rPr>
                <w:rFonts w:ascii="宋体" w:hAnsi="宋体" w:eastAsia="宋体"/>
                <w:b w:val="0"/>
                <w:sz w:val="21"/>
              </w:rPr>
              <w:t>统一 Provider 适配、能力过滤和可配置降级</w:t>
            </w:r>
          </w:p>
        </w:tc>
      </w:tr>
      <w:tr>
        <w:tc>
          <w:tcPr>
            <w:tcW w:type="dxa" w:w="2929"/>
            <w:vAlign w:val="center"/>
          </w:tcPr>
          <w:p>
            <w:pPr>
              <w:jc w:val="center"/>
            </w:pPr>
            <w:r>
              <w:rPr>
                <w:rFonts w:ascii="宋体" w:hAnsi="宋体" w:eastAsia="宋体"/>
                <w:b w:val="0"/>
                <w:sz w:val="21"/>
              </w:rPr>
              <w:t>业务数据幻觉</w:t>
            </w:r>
          </w:p>
        </w:tc>
        <w:tc>
          <w:tcPr>
            <w:tcW w:type="dxa" w:w="2929"/>
            <w:vAlign w:val="center"/>
          </w:tcPr>
          <w:p>
            <w:pPr>
              <w:jc w:val="center"/>
            </w:pPr>
            <w:r>
              <w:rPr>
                <w:rFonts w:ascii="宋体" w:hAnsi="宋体" w:eastAsia="宋体"/>
                <w:b w:val="0"/>
                <w:sz w:val="21"/>
              </w:rPr>
              <w:t>引用不存在的角色或表单</w:t>
            </w:r>
          </w:p>
        </w:tc>
        <w:tc>
          <w:tcPr>
            <w:tcW w:type="dxa" w:w="2929"/>
            <w:vAlign w:val="center"/>
          </w:tcPr>
          <w:p>
            <w:pPr>
              <w:jc w:val="center"/>
            </w:pPr>
            <w:r>
              <w:rPr>
                <w:rFonts w:ascii="宋体" w:hAnsi="宋体" w:eastAsia="宋体"/>
                <w:b w:val="0"/>
                <w:sz w:val="21"/>
              </w:rPr>
              <w:t>ReAct 查询后端权威数据并二次校验</w:t>
            </w:r>
          </w:p>
        </w:tc>
      </w:tr>
      <w:tr>
        <w:tc>
          <w:tcPr>
            <w:tcW w:type="dxa" w:w="2929"/>
            <w:vAlign w:val="center"/>
          </w:tcPr>
          <w:p>
            <w:pPr>
              <w:jc w:val="center"/>
            </w:pPr>
            <w:r>
              <w:rPr>
                <w:rFonts w:ascii="宋体" w:hAnsi="宋体" w:eastAsia="宋体"/>
                <w:b w:val="0"/>
                <w:sz w:val="21"/>
              </w:rPr>
              <w:t>增量修改损坏原模型</w:t>
            </w:r>
          </w:p>
        </w:tc>
        <w:tc>
          <w:tcPr>
            <w:tcW w:type="dxa" w:w="2929"/>
            <w:vAlign w:val="center"/>
          </w:tcPr>
          <w:p>
            <w:pPr>
              <w:jc w:val="center"/>
            </w:pPr>
            <w:r>
              <w:rPr>
                <w:rFonts w:ascii="宋体" w:hAnsi="宋体" w:eastAsia="宋体"/>
                <w:b w:val="0"/>
                <w:sz w:val="21"/>
              </w:rPr>
              <w:t>原节点、扩展属性或坐标丢失</w:t>
            </w:r>
          </w:p>
        </w:tc>
        <w:tc>
          <w:tcPr>
            <w:tcW w:type="dxa" w:w="2929"/>
            <w:vAlign w:val="center"/>
          </w:tcPr>
          <w:p>
            <w:pPr>
              <w:jc w:val="center"/>
            </w:pPr>
            <w:r>
              <w:rPr>
                <w:rFonts w:ascii="宋体" w:hAnsi="宋体" w:eastAsia="宋体"/>
                <w:b w:val="0"/>
                <w:sz w:val="21"/>
              </w:rPr>
              <w:t>基于原始 DOM 合并、深拷贝应用、预览确认</w:t>
            </w:r>
          </w:p>
        </w:tc>
      </w:tr>
      <w:tr>
        <w:tc>
          <w:tcPr>
            <w:tcW w:type="dxa" w:w="2929"/>
            <w:vAlign w:val="center"/>
          </w:tcPr>
          <w:p>
            <w:pPr>
              <w:jc w:val="center"/>
            </w:pPr>
            <w:r>
              <w:rPr>
                <w:rFonts w:ascii="宋体" w:hAnsi="宋体" w:eastAsia="宋体"/>
                <w:b w:val="0"/>
                <w:sz w:val="21"/>
              </w:rPr>
              <w:t>多轮状态冲突</w:t>
            </w:r>
          </w:p>
        </w:tc>
        <w:tc>
          <w:tcPr>
            <w:tcW w:type="dxa" w:w="2929"/>
            <w:vAlign w:val="center"/>
          </w:tcPr>
          <w:p>
            <w:pPr>
              <w:jc w:val="center"/>
            </w:pPr>
            <w:r>
              <w:rPr>
                <w:rFonts w:ascii="宋体" w:hAnsi="宋体" w:eastAsia="宋体"/>
                <w:b w:val="0"/>
                <w:sz w:val="21"/>
              </w:rPr>
              <w:t>并发请求覆盖 checkpoint</w:t>
            </w:r>
          </w:p>
        </w:tc>
        <w:tc>
          <w:tcPr>
            <w:tcW w:type="dxa" w:w="2929"/>
            <w:vAlign w:val="center"/>
          </w:tcPr>
          <w:p>
            <w:pPr>
              <w:jc w:val="center"/>
            </w:pPr>
            <w:r>
              <w:rPr>
                <w:rFonts w:ascii="宋体" w:hAnsi="宋体" w:eastAsia="宋体"/>
                <w:b w:val="0"/>
                <w:sz w:val="21"/>
              </w:rPr>
              <w:t>用户会话隔离、Redis 分布式锁和 TTL</w:t>
            </w:r>
          </w:p>
        </w:tc>
      </w:tr>
      <w:tr>
        <w:tc>
          <w:tcPr>
            <w:tcW w:type="dxa" w:w="2929"/>
            <w:vAlign w:val="center"/>
          </w:tcPr>
          <w:p>
            <w:pPr>
              <w:jc w:val="center"/>
            </w:pPr>
            <w:r>
              <w:rPr>
                <w:rFonts w:ascii="宋体" w:hAnsi="宋体" w:eastAsia="宋体"/>
                <w:b w:val="0"/>
                <w:sz w:val="21"/>
              </w:rPr>
              <w:t>评估结果不可复现</w:t>
            </w:r>
          </w:p>
        </w:tc>
        <w:tc>
          <w:tcPr>
            <w:tcW w:type="dxa" w:w="2929"/>
            <w:vAlign w:val="center"/>
          </w:tcPr>
          <w:p>
            <w:pPr>
              <w:jc w:val="center"/>
            </w:pPr>
            <w:r>
              <w:rPr>
                <w:rFonts w:ascii="宋体" w:hAnsi="宋体" w:eastAsia="宋体"/>
                <w:b w:val="0"/>
                <w:sz w:val="21"/>
              </w:rPr>
              <w:t>对话样本和提示词变化</w:t>
            </w:r>
          </w:p>
        </w:tc>
        <w:tc>
          <w:tcPr>
            <w:tcW w:type="dxa" w:w="2929"/>
            <w:vAlign w:val="center"/>
          </w:tcPr>
          <w:p>
            <w:pPr>
              <w:jc w:val="center"/>
            </w:pPr>
            <w:r>
              <w:rPr>
                <w:rFonts w:ascii="宋体" w:hAnsi="宋体" w:eastAsia="宋体"/>
                <w:b w:val="0"/>
                <w:sz w:val="21"/>
              </w:rPr>
              <w:t>稳定用例 ID、提示词版本记录和 Dataset Run</w:t>
            </w:r>
          </w:p>
        </w:tc>
      </w:tr>
      <w:tr>
        <w:tc>
          <w:tcPr>
            <w:tcW w:type="dxa" w:w="2929"/>
            <w:vAlign w:val="center"/>
          </w:tcPr>
          <w:p>
            <w:pPr>
              <w:jc w:val="center"/>
            </w:pPr>
            <w:r>
              <w:rPr>
                <w:rFonts w:ascii="宋体" w:hAnsi="宋体" w:eastAsia="宋体"/>
                <w:b w:val="0"/>
                <w:sz w:val="21"/>
              </w:rPr>
              <w:t>敏感信息泄露</w:t>
            </w:r>
          </w:p>
        </w:tc>
        <w:tc>
          <w:tcPr>
            <w:tcW w:type="dxa" w:w="2929"/>
            <w:vAlign w:val="center"/>
          </w:tcPr>
          <w:p>
            <w:pPr>
              <w:jc w:val="center"/>
            </w:pPr>
            <w:r>
              <w:rPr>
                <w:rFonts w:ascii="宋体" w:hAnsi="宋体" w:eastAsia="宋体"/>
                <w:b w:val="0"/>
                <w:sz w:val="21"/>
              </w:rPr>
              <w:t>密钥或真实对话进入仓库</w:t>
            </w:r>
          </w:p>
        </w:tc>
        <w:tc>
          <w:tcPr>
            <w:tcW w:type="dxa" w:w="2929"/>
            <w:vAlign w:val="center"/>
          </w:tcPr>
          <w:p>
            <w:pPr>
              <w:jc w:val="center"/>
            </w:pPr>
            <w:r>
              <w:rPr>
                <w:rFonts w:ascii="宋体" w:hAnsi="宋体" w:eastAsia="宋体"/>
                <w:b w:val="0"/>
                <w:sz w:val="21"/>
              </w:rPr>
              <w:t>.env 管理密钥、提交扫描、数据匿名化</w:t>
            </w:r>
          </w:p>
        </w:tc>
      </w:tr>
    </w:tbl>
    <w:p>
      <w:r>
        <w:br w:type="page"/>
      </w:r>
    </w:p>
    <w:p>
      <w:pPr>
        <w:pStyle w:val="Heading1"/>
        <w:jc w:val="center"/>
      </w:pPr>
      <w:r>
        <w:t>十三、论文拟定目录</w:t>
      </w:r>
    </w:p>
    <w:p>
      <w:pPr>
        <w:pStyle w:val="ListNumber"/>
        <w:spacing w:line="360" w:lineRule="auto"/>
      </w:pPr>
      <w:r>
        <w:t>绪论</w:t>
      </w:r>
    </w:p>
    <w:p>
      <w:pPr>
        <w:pStyle w:val="ListNumber"/>
        <w:spacing w:line="360" w:lineRule="auto"/>
      </w:pPr>
      <w:r>
        <w:t>相关技术与理论基础</w:t>
      </w:r>
    </w:p>
    <w:p>
      <w:pPr>
        <w:pStyle w:val="ListNumber"/>
        <w:spacing w:line="360" w:lineRule="auto"/>
      </w:pPr>
      <w:r>
        <w:t>需求分析</w:t>
      </w:r>
    </w:p>
    <w:p>
      <w:pPr>
        <w:pStyle w:val="ListNumber"/>
        <w:spacing w:line="360" w:lineRule="auto"/>
      </w:pPr>
      <w:r>
        <w:t>系统总体设计</w:t>
      </w:r>
    </w:p>
    <w:p>
      <w:pPr>
        <w:pStyle w:val="ListNumber"/>
        <w:spacing w:line="360" w:lineRule="auto"/>
      </w:pPr>
      <w:r>
        <w:t>智能流程设计关键技术</w:t>
      </w:r>
    </w:p>
    <w:p>
      <w:pPr>
        <w:pStyle w:val="ListNumber"/>
        <w:spacing w:line="360" w:lineRule="auto"/>
      </w:pPr>
      <w:r>
        <w:t>系统详细实现</w:t>
      </w:r>
    </w:p>
    <w:p>
      <w:pPr>
        <w:pStyle w:val="ListNumber"/>
        <w:spacing w:line="360" w:lineRule="auto"/>
      </w:pPr>
      <w:r>
        <w:t>系统测试与结果分析</w:t>
      </w:r>
    </w:p>
    <w:p>
      <w:pPr>
        <w:pStyle w:val="ListNumber"/>
        <w:spacing w:line="360" w:lineRule="auto"/>
      </w:pPr>
      <w:r>
        <w:t>总结与展望</w:t>
      </w:r>
    </w:p>
    <w:p>
      <w:r>
        <w:br w:type="page"/>
      </w:r>
    </w:p>
    <w:p>
      <w:pPr>
        <w:pStyle w:val="Heading1"/>
        <w:jc w:val="center"/>
      </w:pPr>
      <w:r>
        <w:t>十四、参考文献</w:t>
      </w:r>
    </w:p>
    <w:p>
      <w:pPr>
        <w:spacing w:line="360" w:lineRule="auto"/>
        <w:ind w:firstLine="480"/>
      </w:pPr>
      <w:r>
        <w:t>[1] Object Management Group. Business Process Model and Notation (BPMN), Version 2.0.2[EB/OL]. 2014. https://www.omg.org/spec/BPMN/2.0.2/.</w:t>
      </w:r>
    </w:p>
    <w:p>
      <w:pPr>
        <w:spacing w:line="360" w:lineRule="auto"/>
        <w:ind w:firstLine="480"/>
      </w:pPr>
      <w:r>
        <w:t>[2] Flowable. Flowable Open Source Documentation: BPMN Getting Started[EB/OL]. https://www.flowable.com/open-source/docs/bpmn/ch02-GettingStarted.</w:t>
      </w:r>
    </w:p>
    <w:p>
      <w:pPr>
        <w:spacing w:line="360" w:lineRule="auto"/>
        <w:ind w:firstLine="480"/>
      </w:pPr>
      <w:r>
        <w:t>[3] YAO S, ZHAO J, YU D, et al. ReAct: Synergizing Reasoning and Acting in Language Models[C]//International Conference on Learning Representations. 2023. https://arxiv.org/abs/2210.03629.</w:t>
      </w:r>
    </w:p>
    <w:p>
      <w:pPr>
        <w:spacing w:line="360" w:lineRule="auto"/>
        <w:ind w:firstLine="480"/>
      </w:pPr>
      <w:r>
        <w:t>[4] LangChain. LangGraph Overview[EB/OL]. https://docs.langchain.com/oss/python/langgraph/overview.</w:t>
      </w:r>
    </w:p>
    <w:p>
      <w:pPr>
        <w:spacing w:line="360" w:lineRule="auto"/>
        <w:ind w:firstLine="480"/>
      </w:pPr>
      <w:r>
        <w:t>[5] LangChain. LangGraph Persistence[EB/OL]. https://docs.langchain.com/oss/python/langgraph/persistence.</w:t>
      </w:r>
    </w:p>
    <w:p>
      <w:pPr>
        <w:spacing w:line="360" w:lineRule="auto"/>
        <w:ind w:firstLine="480"/>
      </w:pPr>
      <w:r>
        <w:t>[6] Langfuse. Observability Best Practices[EB/OL]. https://langfuse.com/docs/observability/best-practices.</w:t>
      </w:r>
    </w:p>
    <w:p>
      <w:pPr>
        <w:spacing w:line="360" w:lineRule="auto"/>
        <w:ind w:firstLine="480"/>
      </w:pPr>
      <w:r>
        <w:t>[7] Langfuse. Datasets and Experiments[EB/OL]. https://langfuse.com/docs/evaluation/experiments/datasets.</w:t>
      </w:r>
    </w:p>
    <w:p>
      <w:pPr>
        <w:spacing w:line="360" w:lineRule="auto"/>
        <w:ind w:firstLine="480"/>
      </w:pPr>
      <w:r>
        <w:t>[8] Vue.js. Vue 3 Introduction[EB/OL]. https://vuejs.org/guide/introduction.html.</w:t>
      </w:r>
    </w:p>
    <w:p>
      <w:pPr>
        <w:spacing w:line="360" w:lineRule="auto"/>
        <w:ind w:firstLine="480"/>
      </w:pPr>
      <w:r>
        <w:t>[9] VMware. Spring Cloud Reference Documentation[EB/OL]. https://docs.spring.io/spring-cloud/docs/current/reference/html/.</w:t>
      </w:r>
    </w:p>
    <w:p>
      <w:pPr>
        <w:spacing w:line="360" w:lineRule="auto"/>
        <w:ind w:firstLine="480"/>
      </w:pPr>
      <w:r>
        <w:t>[10] FastAPI. FastAPI Documentation[EB/OL]. https://fastapi.tiangolo.com/.</w:t>
      </w:r>
    </w:p>
    <w:p>
      <w:pPr>
        <w:spacing w:line="360" w:lineRule="auto"/>
        <w:ind w:firstLine="480"/>
      </w:pPr>
      <w:r>
        <w:t>[11] Redis. Redis Persistence[EB/OL]. https://redis.io/docs/latest/operate/oss_and_stack/management/persistence/.</w:t>
      </w:r>
    </w:p>
    <w:p>
      <w:pPr>
        <w:spacing w:line="360" w:lineRule="auto"/>
        <w:ind w:firstLine="480"/>
      </w:pPr>
      <w:r>
        <w:t>[12] FIELDING R T. Architectural Styles and the Design of Network-based Software Architectures[D]. University of California, Irvine, 2000.</w:t>
      </w:r>
    </w:p>
    <w:p>
      <w:r>
        <w:br w:type="page"/>
      </w:r>
    </w:p>
    <w:p>
      <w:pPr>
        <w:pStyle w:val="Heading1"/>
        <w:jc w:val="center"/>
      </w:pPr>
      <w:r>
        <w:t>十五、指导教师意见</w:t>
      </w:r>
    </w:p>
    <w:p>
      <w:pPr>
        <w:spacing w:line="360" w:lineRule="auto"/>
        <w:ind w:firstLine="480"/>
      </w:pPr>
      <w:r>
        <w:t>指导教师意见：</w:t>
      </w:r>
    </w:p>
    <w:p>
      <w:pPr>
        <w:spacing w:line="360" w:lineRule="auto"/>
        <w:ind w:firstLine="480"/>
      </w:pPr>
      <w:r>
        <w:t>指导教师签名：__________________</w:t>
      </w:r>
    </w:p>
    <w:p>
      <w:pPr>
        <w:spacing w:line="360" w:lineRule="auto"/>
        <w:ind w:firstLine="480"/>
      </w:pPr>
      <w:r>
        <w:t>日期：______年____月____日</w:t>
      </w:r>
    </w:p>
    <w:p>
      <w:r>
        <w:br w:type="page"/>
      </w:r>
    </w:p>
    <w:p>
      <w:pPr>
        <w:pStyle w:val="Heading1"/>
        <w:jc w:val="center"/>
      </w:pPr>
      <w:r>
        <w:t>十六、院系审核意见</w:t>
      </w:r>
    </w:p>
    <w:p>
      <w:pPr>
        <w:spacing w:line="360" w:lineRule="auto"/>
        <w:ind w:firstLine="480"/>
      </w:pPr>
      <w:r>
        <w:t>院系审核意见：</w:t>
      </w:r>
    </w:p>
    <w:p>
      <w:pPr>
        <w:spacing w:line="360" w:lineRule="auto"/>
        <w:ind w:firstLine="480"/>
      </w:pPr>
      <w:r>
        <w:t>负责人签名（盖章）：__________________</w:t>
      </w:r>
    </w:p>
    <w:p>
      <w:pPr>
        <w:spacing w:line="360" w:lineRule="auto"/>
        <w:ind w:firstLine="480"/>
      </w:pPr>
      <w:r>
        <w:t>日期：______年____月____日</w:t>
      </w:r>
    </w:p>
    <w:sectPr w:rsidR="00FC693F" w:rsidRPr="0006063C" w:rsidSect="00034616">
      <w:headerReference w:type="default" r:id="rId9"/>
      <w:footerReference w:type="default" r:id="rId10"/>
      <w:pgSz w:w="11906" w:h="16838"/>
      <w:pgMar w:top="1417" w:right="1417" w:bottom="1417"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基于大语言模型的智能流程审批系统设计与实现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黑体" w:hAnsi="黑体" w:eastAsia="黑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论文代码">
    <w:name w:val="论文代码"/>
    <w:pPr>
      <w:spacing w:before="60" w:after="60"/>
      <w:ind w:left="420"/>
    </w:pPr>
    <w:rPr>
      <w:rFonts w:ascii="Consolas" w:hAnsi="Consolas" w:eastAsia="等线"/>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FlowMind本科毕业设计开题报告</dc:title>
  <dc:subject>本科毕业设计文档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