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Report - Death Rate Analysis Project</w:t>
      </w:r>
    </w:p>
    <w:p w:rsidR="00000000" w:rsidDel="00000000" w:rsidP="00000000" w:rsidRDefault="00000000" w:rsidRPr="00000000" w14:paraId="00000002">
      <w:pPr>
        <w:jc w:val="both"/>
        <w:rPr>
          <w:rFonts w:ascii="Tahoma" w:cs="Tahoma" w:eastAsia="Tahoma" w:hAnsi="Tahoma"/>
          <w:sz w:val="20"/>
          <w:szCs w:val="20"/>
        </w:rPr>
      </w:pPr>
      <w:r w:rsidDel="00000000" w:rsidR="00000000" w:rsidRPr="00000000">
        <w:rPr>
          <w:rFonts w:ascii="Tahoma" w:cs="Tahoma" w:eastAsia="Tahoma" w:hAnsi="Tahoma"/>
          <w:b w:val="1"/>
          <w:i w:val="1"/>
          <w:sz w:val="20"/>
          <w:szCs w:val="20"/>
          <w:rtl w:val="0"/>
        </w:rPr>
        <w:t xml:space="preserve">Application and Assessment Date</w:t>
      </w:r>
      <w:r w:rsidDel="00000000" w:rsidR="00000000" w:rsidRPr="00000000">
        <w:rPr>
          <w:rFonts w:ascii="Tahoma" w:cs="Tahoma" w:eastAsia="Tahoma" w:hAnsi="Tahoma"/>
          <w:sz w:val="20"/>
          <w:szCs w:val="20"/>
          <w:rtl w:val="0"/>
        </w:rPr>
        <w:t xml:space="preserve">: </w:t>
      </w:r>
      <w:r w:rsidDel="00000000" w:rsidR="00000000" w:rsidRPr="00000000">
        <w:rPr>
          <w:rFonts w:ascii="Tahoma" w:cs="Tahoma" w:eastAsia="Tahoma" w:hAnsi="Tahoma"/>
          <w:sz w:val="20"/>
          <w:szCs w:val="20"/>
          <w:rtl w:val="0"/>
        </w:rPr>
        <w:t xml:space="preserve">24 Feb 2024</w:t>
      </w:r>
      <w:r w:rsidDel="00000000" w:rsidR="00000000" w:rsidRPr="00000000">
        <w:rPr>
          <w:rtl w:val="0"/>
        </w:rPr>
      </w:r>
    </w:p>
    <w:p w:rsidR="00000000" w:rsidDel="00000000" w:rsidP="00000000" w:rsidRDefault="00000000" w:rsidRPr="00000000" w14:paraId="00000003">
      <w:pPr>
        <w:jc w:val="both"/>
        <w:rPr>
          <w:rFonts w:ascii="Tahoma" w:cs="Tahoma" w:eastAsia="Tahoma" w:hAnsi="Tahoma"/>
          <w:sz w:val="20"/>
          <w:szCs w:val="20"/>
        </w:rPr>
      </w:pPr>
      <w:r w:rsidDel="00000000" w:rsidR="00000000" w:rsidRPr="00000000">
        <w:rPr>
          <w:rFonts w:ascii="Tahoma" w:cs="Tahoma" w:eastAsia="Tahoma" w:hAnsi="Tahoma"/>
          <w:b w:val="1"/>
          <w:i w:val="1"/>
          <w:sz w:val="20"/>
          <w:szCs w:val="20"/>
          <w:rtl w:val="0"/>
        </w:rPr>
        <w:t xml:space="preserve">Assessment by</w:t>
      </w:r>
      <w:r w:rsidDel="00000000" w:rsidR="00000000" w:rsidRPr="00000000">
        <w:rPr>
          <w:rFonts w:ascii="Tahoma" w:cs="Tahoma" w:eastAsia="Tahoma" w:hAnsi="Tahoma"/>
          <w:sz w:val="20"/>
          <w:szCs w:val="20"/>
          <w:rtl w:val="0"/>
        </w:rPr>
        <w:t xml:space="preserve">: Shashini Peiris</w:t>
      </w:r>
    </w:p>
    <w:p w:rsidR="00000000" w:rsidDel="00000000" w:rsidP="00000000" w:rsidRDefault="00000000" w:rsidRPr="00000000" w14:paraId="00000004">
      <w:pPr>
        <w:jc w:val="both"/>
        <w:rPr>
          <w:rFonts w:ascii="Tahoma" w:cs="Tahoma" w:eastAsia="Tahoma" w:hAnsi="Tahoma"/>
          <w:sz w:val="20"/>
          <w:szCs w:val="20"/>
        </w:rPr>
      </w:pPr>
      <w:r w:rsidDel="00000000" w:rsidR="00000000" w:rsidRPr="00000000">
        <w:rPr>
          <w:rFonts w:ascii="Tahoma" w:cs="Tahoma" w:eastAsia="Tahoma" w:hAnsi="Tahoma"/>
          <w:b w:val="1"/>
          <w:i w:val="1"/>
          <w:sz w:val="20"/>
          <w:szCs w:val="20"/>
          <w:rtl w:val="0"/>
        </w:rPr>
        <w:t xml:space="preserve">Assessment for</w:t>
      </w:r>
      <w:r w:rsidDel="00000000" w:rsidR="00000000" w:rsidRPr="00000000">
        <w:rPr>
          <w:rFonts w:ascii="Tahoma" w:cs="Tahoma" w:eastAsia="Tahoma" w:hAnsi="Tahoma"/>
          <w:sz w:val="20"/>
          <w:szCs w:val="20"/>
          <w:rtl w:val="0"/>
        </w:rPr>
        <w:t xml:space="preserve">: Junior Data Scientist position at Our World in Data</w:t>
      </w:r>
    </w:p>
    <w:p w:rsidR="00000000" w:rsidDel="00000000" w:rsidP="00000000" w:rsidRDefault="00000000" w:rsidRPr="00000000" w14:paraId="00000005">
      <w:pPr>
        <w:jc w:val="both"/>
        <w:rPr>
          <w:rFonts w:ascii="Tahoma" w:cs="Tahoma" w:eastAsia="Tahoma" w:hAnsi="Tahoma"/>
          <w:sz w:val="20"/>
          <w:szCs w:val="20"/>
        </w:rPr>
      </w:pPr>
      <w:r w:rsidDel="00000000" w:rsidR="00000000" w:rsidRPr="00000000">
        <w:rPr>
          <w:rFonts w:ascii="Tahoma" w:cs="Tahoma" w:eastAsia="Tahoma" w:hAnsi="Tahoma"/>
          <w:b w:val="1"/>
          <w:i w:val="1"/>
          <w:sz w:val="20"/>
          <w:szCs w:val="20"/>
          <w:rtl w:val="0"/>
        </w:rPr>
        <w:t xml:space="preserve">Assessment in GitHub</w:t>
      </w:r>
      <w:r w:rsidDel="00000000" w:rsidR="00000000" w:rsidRPr="00000000">
        <w:rPr>
          <w:rFonts w:ascii="Tahoma" w:cs="Tahoma" w:eastAsia="Tahoma" w:hAnsi="Tahoma"/>
          <w:sz w:val="20"/>
          <w:szCs w:val="20"/>
          <w:rtl w:val="0"/>
        </w:rPr>
        <w:t xml:space="preserve">: </w:t>
      </w:r>
      <w:hyperlink r:id="rId6">
        <w:r w:rsidDel="00000000" w:rsidR="00000000" w:rsidRPr="00000000">
          <w:rPr>
            <w:rFonts w:ascii="Tahoma" w:cs="Tahoma" w:eastAsia="Tahoma" w:hAnsi="Tahoma"/>
            <w:color w:val="1155cc"/>
            <w:sz w:val="20"/>
            <w:szCs w:val="20"/>
            <w:u w:val="single"/>
            <w:rtl w:val="0"/>
          </w:rPr>
          <w:t xml:space="preserve">https://github.com/MoonlightO2/Our-World-in-Data</w:t>
        </w:r>
      </w:hyperlink>
      <w:r w:rsidDel="00000000" w:rsidR="00000000" w:rsidRPr="00000000">
        <w:rPr>
          <w:rtl w:val="0"/>
        </w:rPr>
      </w:r>
    </w:p>
    <w:p w:rsidR="00000000" w:rsidDel="00000000" w:rsidP="00000000" w:rsidRDefault="00000000" w:rsidRPr="00000000" w14:paraId="00000006">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07">
      <w:pPr>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Introduction</w:t>
      </w:r>
      <w:r w:rsidDel="00000000" w:rsidR="00000000" w:rsidRPr="00000000">
        <w:rPr>
          <w:rFonts w:ascii="Tahoma" w:cs="Tahoma" w:eastAsia="Tahoma" w:hAnsi="Tahoma"/>
          <w:sz w:val="20"/>
          <w:szCs w:val="20"/>
          <w:rtl w:val="0"/>
        </w:rPr>
        <w:t xml:space="preserve">:</w:t>
      </w:r>
      <w:r w:rsidDel="00000000" w:rsidR="00000000" w:rsidRPr="00000000">
        <w:rPr>
          <w:rtl w:val="0"/>
        </w:rPr>
      </w:r>
    </w:p>
    <w:p w:rsidR="00000000" w:rsidDel="00000000" w:rsidP="00000000" w:rsidRDefault="00000000" w:rsidRPr="00000000" w14:paraId="00000008">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I have developed a Python script to calculate both the crude death rate and the age-standardised death rate for chronic obstructive pulmonary disease (COPD) in the United States and Uganda for the year 2019.</w:t>
      </w:r>
    </w:p>
    <w:p w:rsidR="00000000" w:rsidDel="00000000" w:rsidP="00000000" w:rsidRDefault="00000000" w:rsidRPr="00000000" w14:paraId="00000009">
      <w:pPr>
        <w:jc w:val="both"/>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0A">
      <w:pPr>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Main steps</w:t>
      </w:r>
      <w:r w:rsidDel="00000000" w:rsidR="00000000" w:rsidRPr="00000000">
        <w:rPr>
          <w:rFonts w:ascii="Tahoma" w:cs="Tahoma" w:eastAsia="Tahoma" w:hAnsi="Tahoma"/>
          <w:sz w:val="20"/>
          <w:szCs w:val="20"/>
          <w:rtl w:val="0"/>
        </w:rPr>
        <w:t xml:space="preserve">:</w:t>
      </w:r>
      <w:r w:rsidDel="00000000" w:rsidR="00000000" w:rsidRPr="00000000">
        <w:rPr>
          <w:rtl w:val="0"/>
        </w:rPr>
      </w:r>
    </w:p>
    <w:p w:rsidR="00000000" w:rsidDel="00000000" w:rsidP="00000000" w:rsidRDefault="00000000" w:rsidRPr="00000000" w14:paraId="0000000B">
      <w:pPr>
        <w:numPr>
          <w:ilvl w:val="0"/>
          <w:numId w:val="1"/>
        </w:numPr>
        <w:ind w:left="425.19685039370086"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First, I extracted age-specific death rates from the provided table. (I created a Google sheet but did not use it as it was a small dataset)</w:t>
      </w:r>
    </w:p>
    <w:p w:rsidR="00000000" w:rsidDel="00000000" w:rsidP="00000000" w:rsidRDefault="00000000" w:rsidRPr="00000000" w14:paraId="0000000C">
      <w:pPr>
        <w:numPr>
          <w:ilvl w:val="0"/>
          <w:numId w:val="1"/>
        </w:numPr>
        <w:ind w:left="425.19685039370086"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Then, I calculated the crude death rate by summing up the age-specific death rates and dividing by the respective populations, adjusted to per 100,000 people.</w:t>
      </w:r>
    </w:p>
    <w:p w:rsidR="00000000" w:rsidDel="00000000" w:rsidP="00000000" w:rsidRDefault="00000000" w:rsidRPr="00000000" w14:paraId="0000000D">
      <w:pPr>
        <w:numPr>
          <w:ilvl w:val="0"/>
          <w:numId w:val="1"/>
        </w:numPr>
        <w:ind w:left="425.19685039370086"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For age-standardised death rates, I used the WHO Standard Population to adjust for differences in age distributions between the populations of the United States and Uganda.</w:t>
      </w:r>
    </w:p>
    <w:p w:rsidR="00000000" w:rsidDel="00000000" w:rsidP="00000000" w:rsidRDefault="00000000" w:rsidRPr="00000000" w14:paraId="0000000E">
      <w:pPr>
        <w:numPr>
          <w:ilvl w:val="0"/>
          <w:numId w:val="1"/>
        </w:numPr>
        <w:ind w:left="425.19685039370086"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This adjustment allows for fair comparisons by applying weights to each age group's death rate based on the proportion of that age group in the standard population. </w:t>
      </w:r>
    </w:p>
    <w:p w:rsidR="00000000" w:rsidDel="00000000" w:rsidP="00000000" w:rsidRDefault="00000000" w:rsidRPr="00000000" w14:paraId="0000000F">
      <w:pPr>
        <w:numPr>
          <w:ilvl w:val="0"/>
          <w:numId w:val="1"/>
        </w:numPr>
        <w:ind w:left="425.19685039370086"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The differences between crude and age-standardised death rates primarily stem from variations in age distributions among populations.</w:t>
      </w:r>
    </w:p>
    <w:p w:rsidR="00000000" w:rsidDel="00000000" w:rsidP="00000000" w:rsidRDefault="00000000" w:rsidRPr="00000000" w14:paraId="00000010">
      <w:pPr>
        <w:numPr>
          <w:ilvl w:val="0"/>
          <w:numId w:val="1"/>
        </w:numPr>
        <w:ind w:left="425.19685039370086"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Crude death rates are direct measures of mortality but can be influenced by differences in age structures between populations.</w:t>
      </w:r>
    </w:p>
    <w:p w:rsidR="00000000" w:rsidDel="00000000" w:rsidP="00000000" w:rsidRDefault="00000000" w:rsidRPr="00000000" w14:paraId="00000011">
      <w:pPr>
        <w:numPr>
          <w:ilvl w:val="0"/>
          <w:numId w:val="1"/>
        </w:numPr>
        <w:ind w:left="425.19685039370086"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Age-standardised death rates, on the other hand, provide a standardised measure that adjusts for these variations, enabling accurate comparisons between populations with different age distributions.</w:t>
      </w:r>
    </w:p>
    <w:p w:rsidR="00000000" w:rsidDel="00000000" w:rsidP="00000000" w:rsidRDefault="00000000" w:rsidRPr="00000000" w14:paraId="00000012">
      <w:pPr>
        <w:numPr>
          <w:ilvl w:val="0"/>
          <w:numId w:val="1"/>
        </w:numPr>
        <w:ind w:left="425.19685039370086"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This adjustment is particularly crucial in our analysis, as age distributions can significantly impact disease prevalence and mortality rates.</w:t>
      </w:r>
    </w:p>
    <w:p w:rsidR="00000000" w:rsidDel="00000000" w:rsidP="00000000" w:rsidRDefault="00000000" w:rsidRPr="00000000" w14:paraId="00000013">
      <w:pPr>
        <w:numPr>
          <w:ilvl w:val="0"/>
          <w:numId w:val="1"/>
        </w:numPr>
        <w:ind w:left="425.19685039370086"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By standardising the death rates, we ensure that any observed differences between the United States and Uganda are not solely due to variations in age demographics but are reflective of actual differences in COPD mortality rates.</w:t>
      </w:r>
    </w:p>
    <w:p w:rsidR="00000000" w:rsidDel="00000000" w:rsidP="00000000" w:rsidRDefault="00000000" w:rsidRPr="00000000" w14:paraId="00000014">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15">
      <w:pPr>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Coding</w:t>
      </w:r>
      <w:r w:rsidDel="00000000" w:rsidR="00000000" w:rsidRPr="00000000">
        <w:rPr>
          <w:rFonts w:ascii="Tahoma" w:cs="Tahoma" w:eastAsia="Tahoma" w:hAnsi="Tahoma"/>
          <w:sz w:val="20"/>
          <w:szCs w:val="20"/>
          <w:rtl w:val="0"/>
        </w:rPr>
        <w:t xml:space="preserve">: GitHub &amp; Google colab notebook attached (.ipynb)</w:t>
      </w:r>
    </w:p>
    <w:p w:rsidR="00000000" w:rsidDel="00000000" w:rsidP="00000000" w:rsidRDefault="00000000" w:rsidRPr="00000000" w14:paraId="00000016">
      <w:pPr>
        <w:jc w:val="both"/>
        <w:rPr>
          <w:rFonts w:ascii="Tahoma" w:cs="Tahoma" w:eastAsia="Tahoma" w:hAnsi="Tahoma"/>
          <w:sz w:val="20"/>
          <w:szCs w:val="20"/>
        </w:rPr>
      </w:pPr>
      <w:hyperlink r:id="rId7">
        <w:r w:rsidDel="00000000" w:rsidR="00000000" w:rsidRPr="00000000">
          <w:rPr>
            <w:rFonts w:ascii="Tahoma" w:cs="Tahoma" w:eastAsia="Tahoma" w:hAnsi="Tahoma"/>
            <w:color w:val="1155cc"/>
            <w:sz w:val="20"/>
            <w:szCs w:val="20"/>
            <w:u w:val="single"/>
            <w:rtl w:val="0"/>
          </w:rPr>
          <w:t xml:space="preserve">https://colab.research.google.com/drive/1Xm1UoUyd3O5AOBT365f6ug47yyebJ_-x#scrollTo=5_eooJl7Dot8</w:t>
        </w:r>
      </w:hyperlink>
      <w:r w:rsidDel="00000000" w:rsidR="00000000" w:rsidRPr="00000000">
        <w:rPr>
          <w:rtl w:val="0"/>
        </w:rPr>
      </w:r>
    </w:p>
    <w:p w:rsidR="00000000" w:rsidDel="00000000" w:rsidP="00000000" w:rsidRDefault="00000000" w:rsidRPr="00000000" w14:paraId="00000017">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18">
      <w:pPr>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Results</w:t>
      </w:r>
      <w:r w:rsidDel="00000000" w:rsidR="00000000" w:rsidRPr="00000000">
        <w:rPr>
          <w:rFonts w:ascii="Tahoma" w:cs="Tahoma" w:eastAsia="Tahoma" w:hAnsi="Tahoma"/>
          <w:sz w:val="20"/>
          <w:szCs w:val="20"/>
          <w:rtl w:val="0"/>
        </w:rPr>
        <w:t xml:space="preserv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1860"/>
        <w:gridCol w:w="1710"/>
        <w:tblGridChange w:id="0">
          <w:tblGrid>
            <w:gridCol w:w="5790"/>
            <w:gridCol w:w="1860"/>
            <w:gridCol w:w="1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Uganda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Crude Death Rate (per 100,000 people) for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right"/>
              <w:rPr>
                <w:rFonts w:ascii="Tahoma" w:cs="Tahoma" w:eastAsia="Tahoma" w:hAnsi="Tahoma"/>
                <w:sz w:val="20"/>
                <w:szCs w:val="20"/>
              </w:rPr>
            </w:pPr>
            <w:r w:rsidDel="00000000" w:rsidR="00000000" w:rsidRPr="00000000">
              <w:rPr>
                <w:rFonts w:ascii="Tahoma" w:cs="Tahoma" w:eastAsia="Tahoma" w:hAnsi="Tahoma"/>
                <w:sz w:val="20"/>
                <w:szCs w:val="20"/>
                <w:rtl w:val="0"/>
              </w:rPr>
              <w:t xml:space="preserve">58.3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right"/>
              <w:rPr>
                <w:rFonts w:ascii="Tahoma" w:cs="Tahoma" w:eastAsia="Tahoma" w:hAnsi="Tahoma"/>
                <w:sz w:val="20"/>
                <w:szCs w:val="20"/>
              </w:rPr>
            </w:pPr>
            <w:r w:rsidDel="00000000" w:rsidR="00000000" w:rsidRPr="00000000">
              <w:rPr>
                <w:rFonts w:ascii="Tahoma" w:cs="Tahoma" w:eastAsia="Tahoma" w:hAnsi="Tahoma"/>
                <w:sz w:val="20"/>
                <w:szCs w:val="20"/>
                <w:rtl w:val="0"/>
              </w:rPr>
              <w:t xml:space="preserve">433.3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Age-Standardized Death Rate (per 100,000 people) for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right"/>
              <w:rPr>
                <w:rFonts w:ascii="Tahoma" w:cs="Tahoma" w:eastAsia="Tahoma" w:hAnsi="Tahoma"/>
                <w:sz w:val="20"/>
                <w:szCs w:val="20"/>
              </w:rPr>
            </w:pPr>
            <w:r w:rsidDel="00000000" w:rsidR="00000000" w:rsidRPr="00000000">
              <w:rPr>
                <w:rFonts w:ascii="Tahoma" w:cs="Tahoma" w:eastAsia="Tahoma" w:hAnsi="Tahoma"/>
                <w:sz w:val="20"/>
                <w:szCs w:val="20"/>
                <w:rtl w:val="0"/>
              </w:rPr>
              <w:t xml:space="preserve">50004.2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right"/>
              <w:rPr>
                <w:rFonts w:ascii="Tahoma" w:cs="Tahoma" w:eastAsia="Tahoma" w:hAnsi="Tahoma"/>
                <w:sz w:val="20"/>
                <w:szCs w:val="20"/>
              </w:rPr>
            </w:pPr>
            <w:r w:rsidDel="00000000" w:rsidR="00000000" w:rsidRPr="00000000">
              <w:rPr>
                <w:rFonts w:ascii="Tahoma" w:cs="Tahoma" w:eastAsia="Tahoma" w:hAnsi="Tahoma"/>
                <w:sz w:val="20"/>
                <w:szCs w:val="20"/>
                <w:rtl w:val="0"/>
              </w:rPr>
              <w:t xml:space="preserve">371871.0</w:t>
            </w:r>
          </w:p>
        </w:tc>
      </w:tr>
    </w:tbl>
    <w:p w:rsidR="00000000" w:rsidDel="00000000" w:rsidP="00000000" w:rsidRDefault="00000000" w:rsidRPr="00000000" w14:paraId="00000022">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23">
      <w:pPr>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Explanation</w:t>
      </w:r>
      <w:r w:rsidDel="00000000" w:rsidR="00000000" w:rsidRPr="00000000">
        <w:rPr>
          <w:rFonts w:ascii="Tahoma" w:cs="Tahoma" w:eastAsia="Tahoma" w:hAnsi="Tahoma"/>
          <w:sz w:val="20"/>
          <w:szCs w:val="20"/>
          <w:rtl w:val="0"/>
        </w:rPr>
        <w:t xml:space="preserve">:</w:t>
      </w:r>
    </w:p>
    <w:p w:rsidR="00000000" w:rsidDel="00000000" w:rsidP="00000000" w:rsidRDefault="00000000" w:rsidRPr="00000000" w14:paraId="00000024">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crude death rate for chronic obstructive pulmonary disease (COPD) in 2019 is notably higher in Uganda at 433.3 deaths per 100,000 people compared to the United States at 58.3 deaths per 100,000 people. However, when we standardize the death rates to account for differences in age distributions between the two countries, we observe a significant reversal in the rankings. The age-standardized death rate for COPD in 2019 is substantially higher in the United States at 50,004.2 deaths per 100,000 people, contrasting with Uganda's rate of 371,871.0 deaths per 100,000 people. This reversal underscores the impact of age demographics on mortality rates and emphasizes the importance of age-standardization for fair cross-country comparisons.</w:t>
      </w:r>
    </w:p>
    <w:p w:rsidR="00000000" w:rsidDel="00000000" w:rsidP="00000000" w:rsidRDefault="00000000" w:rsidRPr="00000000" w14:paraId="00000025">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26">
      <w:pPr>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Visualisation</w:t>
      </w:r>
      <w:r w:rsidDel="00000000" w:rsidR="00000000" w:rsidRPr="00000000">
        <w:rPr>
          <w:rFonts w:ascii="Tahoma" w:cs="Tahoma" w:eastAsia="Tahoma" w:hAnsi="Tahoma"/>
          <w:sz w:val="20"/>
          <w:szCs w:val="20"/>
          <w:rtl w:val="0"/>
        </w:rPr>
        <w:t xml:space="preserve">: I have incorporated a couple of plots to visualise the data, I created plots for the age-specific death rates in both the United States and Uganda, as well as for the crude death rates and age-standardised death rates for comparison between the two countries.</w:t>
      </w:r>
    </w:p>
    <w:p w:rsidR="00000000" w:rsidDel="00000000" w:rsidP="00000000" w:rsidRDefault="00000000" w:rsidRPr="00000000" w14:paraId="00000027">
      <w:pPr>
        <w:jc w:val="both"/>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28">
      <w:pPr>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Age Specific Death Rates from COPD 2019</w:t>
      </w:r>
    </w:p>
    <w:p w:rsidR="00000000" w:rsidDel="00000000" w:rsidP="00000000" w:rsidRDefault="00000000" w:rsidRPr="00000000" w14:paraId="00000029">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This plot shows how age influences the deaths due to COPD only in 2019</w:t>
      </w:r>
    </w:p>
    <w:p w:rsidR="00000000" w:rsidDel="00000000" w:rsidP="00000000" w:rsidRDefault="00000000" w:rsidRPr="00000000" w14:paraId="0000002A">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2B">
      <w:pPr>
        <w:jc w:val="center"/>
        <w:rPr>
          <w:rFonts w:ascii="Tahoma" w:cs="Tahoma" w:eastAsia="Tahoma" w:hAnsi="Tahoma"/>
          <w:sz w:val="20"/>
          <w:szCs w:val="20"/>
        </w:rPr>
      </w:pPr>
      <w:r w:rsidDel="00000000" w:rsidR="00000000" w:rsidRPr="00000000">
        <w:rPr>
          <w:rFonts w:ascii="Tahoma" w:cs="Tahoma" w:eastAsia="Tahoma" w:hAnsi="Tahoma"/>
          <w:sz w:val="20"/>
          <w:szCs w:val="20"/>
        </w:rPr>
        <w:drawing>
          <wp:inline distB="114300" distT="114300" distL="114300" distR="114300">
            <wp:extent cx="5943600" cy="3543300"/>
            <wp:effectExtent b="12700" l="12700" r="12700" t="127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543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jc w:val="center"/>
        <w:rPr>
          <w:rFonts w:ascii="Tahoma" w:cs="Tahoma" w:eastAsia="Tahoma" w:hAnsi="Tahoma"/>
          <w:b w:val="1"/>
          <w:i w:val="1"/>
          <w:sz w:val="16"/>
          <w:szCs w:val="16"/>
        </w:rPr>
      </w:pPr>
      <w:r w:rsidDel="00000000" w:rsidR="00000000" w:rsidRPr="00000000">
        <w:rPr>
          <w:rFonts w:ascii="Tahoma" w:cs="Tahoma" w:eastAsia="Tahoma" w:hAnsi="Tahoma"/>
          <w:b w:val="1"/>
          <w:i w:val="1"/>
          <w:sz w:val="16"/>
          <w:szCs w:val="16"/>
          <w:rtl w:val="0"/>
        </w:rPr>
        <w:t xml:space="preserve">Figure 1: Age Specific Death Rates from COPD 2019</w:t>
      </w:r>
    </w:p>
    <w:p w:rsidR="00000000" w:rsidDel="00000000" w:rsidP="00000000" w:rsidRDefault="00000000" w:rsidRPr="00000000" w14:paraId="0000002D">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2E">
      <w:pPr>
        <w:jc w:val="both"/>
        <w:rPr>
          <w:rFonts w:ascii="Tahoma" w:cs="Tahoma" w:eastAsia="Tahoma" w:hAnsi="Tahom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F">
      <w:pPr>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Crude and Age-standardised Death Rates from COPD (2019)</w:t>
      </w:r>
    </w:p>
    <w:p w:rsidR="00000000" w:rsidDel="00000000" w:rsidP="00000000" w:rsidRDefault="00000000" w:rsidRPr="00000000" w14:paraId="00000030">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This plot shows the relativity of Crude and Age-standardised deaths from COPD in 2019 and it shows a clearly visible difference between USA and Uganda.</w:t>
      </w:r>
    </w:p>
    <w:p w:rsidR="00000000" w:rsidDel="00000000" w:rsidP="00000000" w:rsidRDefault="00000000" w:rsidRPr="00000000" w14:paraId="00000031">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32">
      <w:pPr>
        <w:jc w:val="center"/>
        <w:rPr>
          <w:rFonts w:ascii="Tahoma" w:cs="Tahoma" w:eastAsia="Tahoma" w:hAnsi="Tahoma"/>
          <w:sz w:val="20"/>
          <w:szCs w:val="20"/>
        </w:rPr>
      </w:pPr>
      <w:r w:rsidDel="00000000" w:rsidR="00000000" w:rsidRPr="00000000">
        <w:rPr>
          <w:rFonts w:ascii="Tahoma" w:cs="Tahoma" w:eastAsia="Tahoma" w:hAnsi="Tahoma"/>
          <w:sz w:val="20"/>
          <w:szCs w:val="20"/>
        </w:rPr>
        <w:drawing>
          <wp:inline distB="114300" distT="114300" distL="114300" distR="114300">
            <wp:extent cx="5943600" cy="4445000"/>
            <wp:effectExtent b="12700" l="12700" r="12700" t="127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445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jc w:val="center"/>
        <w:rPr>
          <w:rFonts w:ascii="Tahoma" w:cs="Tahoma" w:eastAsia="Tahoma" w:hAnsi="Tahoma"/>
          <w:b w:val="1"/>
          <w:i w:val="1"/>
          <w:sz w:val="20"/>
          <w:szCs w:val="20"/>
        </w:rPr>
      </w:pPr>
      <w:r w:rsidDel="00000000" w:rsidR="00000000" w:rsidRPr="00000000">
        <w:rPr>
          <w:rFonts w:ascii="Tahoma" w:cs="Tahoma" w:eastAsia="Tahoma" w:hAnsi="Tahoma"/>
          <w:b w:val="1"/>
          <w:i w:val="1"/>
          <w:sz w:val="16"/>
          <w:szCs w:val="16"/>
          <w:rtl w:val="0"/>
        </w:rPr>
        <w:t xml:space="preserve">Figure 2: Crude and Age-standardised Death Rates from COPD (2019)</w:t>
      </w:r>
      <w:r w:rsidDel="00000000" w:rsidR="00000000" w:rsidRPr="00000000">
        <w:rPr>
          <w:rtl w:val="0"/>
        </w:rPr>
      </w:r>
    </w:p>
    <w:p w:rsidR="00000000" w:rsidDel="00000000" w:rsidP="00000000" w:rsidRDefault="00000000" w:rsidRPr="00000000" w14:paraId="00000034">
      <w:pPr>
        <w:jc w:val="both"/>
        <w:rPr>
          <w:rFonts w:ascii="Tahoma" w:cs="Tahoma" w:eastAsia="Tahoma" w:hAnsi="Tahoma"/>
          <w:b w:val="1"/>
          <w:i w:val="1"/>
          <w:sz w:val="20"/>
          <w:szCs w:val="20"/>
        </w:rPr>
      </w:pPr>
      <w:r w:rsidDel="00000000" w:rsidR="00000000" w:rsidRPr="00000000">
        <w:rPr>
          <w:rtl w:val="0"/>
        </w:rPr>
      </w:r>
    </w:p>
    <w:p w:rsidR="00000000" w:rsidDel="00000000" w:rsidP="00000000" w:rsidRDefault="00000000" w:rsidRPr="00000000" w14:paraId="00000035">
      <w:pPr>
        <w:jc w:val="both"/>
        <w:rPr>
          <w:rFonts w:ascii="Tahoma" w:cs="Tahoma" w:eastAsia="Tahoma" w:hAnsi="Tahoma"/>
          <w:b w:val="1"/>
          <w:i w:val="1"/>
          <w:sz w:val="20"/>
          <w:szCs w:val="20"/>
        </w:rPr>
      </w:pPr>
      <w:r w:rsidDel="00000000" w:rsidR="00000000" w:rsidRPr="00000000">
        <w:rPr>
          <w:rtl w:val="0"/>
        </w:rPr>
      </w:r>
    </w:p>
    <w:p w:rsidR="00000000" w:rsidDel="00000000" w:rsidP="00000000" w:rsidRDefault="00000000" w:rsidRPr="00000000" w14:paraId="00000036">
      <w:pPr>
        <w:jc w:val="both"/>
        <w:rPr>
          <w:rFonts w:ascii="Tahoma" w:cs="Tahoma" w:eastAsia="Tahoma" w:hAnsi="Tahoma"/>
          <w:sz w:val="20"/>
          <w:szCs w:val="20"/>
        </w:rPr>
      </w:pPr>
      <w:r w:rsidDel="00000000" w:rsidR="00000000" w:rsidRPr="00000000">
        <w:rPr>
          <w:rFonts w:ascii="Tahoma" w:cs="Tahoma" w:eastAsia="Tahoma" w:hAnsi="Tahoma"/>
          <w:b w:val="1"/>
          <w:i w:val="1"/>
          <w:sz w:val="20"/>
          <w:szCs w:val="20"/>
          <w:rtl w:val="0"/>
        </w:rPr>
        <w:t xml:space="preserve">Job Advertisement</w:t>
      </w:r>
      <w:r w:rsidDel="00000000" w:rsidR="00000000" w:rsidRPr="00000000">
        <w:rPr>
          <w:rFonts w:ascii="Tahoma" w:cs="Tahoma" w:eastAsia="Tahoma" w:hAnsi="Tahoma"/>
          <w:sz w:val="20"/>
          <w:szCs w:val="20"/>
          <w:rtl w:val="0"/>
        </w:rPr>
        <w:t xml:space="preserve">: </w:t>
      </w:r>
      <w:hyperlink r:id="rId10">
        <w:r w:rsidDel="00000000" w:rsidR="00000000" w:rsidRPr="00000000">
          <w:rPr>
            <w:rFonts w:ascii="Tahoma" w:cs="Tahoma" w:eastAsia="Tahoma" w:hAnsi="Tahoma"/>
            <w:color w:val="1155cc"/>
            <w:sz w:val="20"/>
            <w:szCs w:val="20"/>
            <w:u w:val="single"/>
            <w:rtl w:val="0"/>
          </w:rPr>
          <w:t xml:space="preserve">https://uk.indeed.com/viewjob?jk=afc4c99438be80c5</w:t>
        </w:r>
      </w:hyperlink>
      <w:r w:rsidDel="00000000" w:rsidR="00000000" w:rsidRPr="00000000">
        <w:rPr>
          <w:rtl w:val="0"/>
        </w:rPr>
      </w:r>
    </w:p>
    <w:p w:rsidR="00000000" w:rsidDel="00000000" w:rsidP="00000000" w:rsidRDefault="00000000" w:rsidRPr="00000000" w14:paraId="00000037">
      <w:pPr>
        <w:jc w:val="both"/>
        <w:rPr>
          <w:rFonts w:ascii="Tahoma" w:cs="Tahoma" w:eastAsia="Tahoma" w:hAnsi="Tahoma"/>
          <w:sz w:val="20"/>
          <w:szCs w:val="20"/>
        </w:rPr>
      </w:pPr>
      <w:r w:rsidDel="00000000" w:rsidR="00000000" w:rsidRPr="00000000">
        <w:rPr>
          <w:rFonts w:ascii="Tahoma" w:cs="Tahoma" w:eastAsia="Tahoma" w:hAnsi="Tahoma"/>
          <w:b w:val="1"/>
          <w:i w:val="1"/>
          <w:sz w:val="20"/>
          <w:szCs w:val="20"/>
          <w:rtl w:val="0"/>
        </w:rPr>
        <w:t xml:space="preserve">Assessment</w:t>
      </w:r>
      <w:r w:rsidDel="00000000" w:rsidR="00000000" w:rsidRPr="00000000">
        <w:rPr>
          <w:rFonts w:ascii="Tahoma" w:cs="Tahoma" w:eastAsia="Tahoma" w:hAnsi="Tahoma"/>
          <w:sz w:val="20"/>
          <w:szCs w:val="20"/>
          <w:rtl w:val="0"/>
        </w:rPr>
        <w:t xml:space="preserve">: </w:t>
      </w:r>
      <w:hyperlink r:id="rId11">
        <w:r w:rsidDel="00000000" w:rsidR="00000000" w:rsidRPr="00000000">
          <w:rPr>
            <w:rFonts w:ascii="Tahoma" w:cs="Tahoma" w:eastAsia="Tahoma" w:hAnsi="Tahoma"/>
            <w:color w:val="1155cc"/>
            <w:sz w:val="20"/>
            <w:szCs w:val="20"/>
            <w:u w:val="single"/>
            <w:rtl w:val="0"/>
          </w:rPr>
          <w:t xml:space="preserve">https://owid.notion.site/owid/Data-analysis-exercise-Our-World-in-Data-Junior-Data-Scientist-application-ab287a3c07264b4d91aadc436021b8c0</w:t>
        </w:r>
      </w:hyperlink>
      <w:r w:rsidDel="00000000" w:rsidR="00000000" w:rsidRPr="00000000">
        <w:rPr>
          <w:rtl w:val="0"/>
        </w:rPr>
      </w:r>
    </w:p>
    <w:p w:rsidR="00000000" w:rsidDel="00000000" w:rsidP="00000000" w:rsidRDefault="00000000" w:rsidRPr="00000000" w14:paraId="00000038">
      <w:pPr>
        <w:jc w:val="both"/>
        <w:rPr>
          <w:rFonts w:ascii="Tahoma" w:cs="Tahoma" w:eastAsia="Tahoma" w:hAnsi="Tahoma"/>
          <w:sz w:val="20"/>
          <w:szCs w:val="20"/>
        </w:rPr>
      </w:pPr>
      <w:r w:rsidDel="00000000" w:rsidR="00000000" w:rsidRPr="00000000">
        <w:rPr>
          <w:rFonts w:ascii="Tahoma" w:cs="Tahoma" w:eastAsia="Tahoma" w:hAnsi="Tahoma"/>
          <w:b w:val="1"/>
          <w:i w:val="1"/>
          <w:sz w:val="20"/>
          <w:szCs w:val="20"/>
          <w:rtl w:val="0"/>
        </w:rPr>
        <w:t xml:space="preserve">Submission</w:t>
      </w:r>
      <w:r w:rsidDel="00000000" w:rsidR="00000000" w:rsidRPr="00000000">
        <w:rPr>
          <w:rFonts w:ascii="Tahoma" w:cs="Tahoma" w:eastAsia="Tahoma" w:hAnsi="Tahoma"/>
          <w:sz w:val="20"/>
          <w:szCs w:val="20"/>
          <w:rtl w:val="0"/>
        </w:rPr>
        <w:t xml:space="preserve">: </w:t>
      </w:r>
      <w:hyperlink r:id="rId12">
        <w:r w:rsidDel="00000000" w:rsidR="00000000" w:rsidRPr="00000000">
          <w:rPr>
            <w:rFonts w:ascii="Tahoma" w:cs="Tahoma" w:eastAsia="Tahoma" w:hAnsi="Tahoma"/>
            <w:color w:val="1155cc"/>
            <w:sz w:val="20"/>
            <w:szCs w:val="20"/>
            <w:u w:val="single"/>
            <w:rtl w:val="0"/>
          </w:rPr>
          <w:t xml:space="preserve">https://docs.google.com/forms/d/e/1FAIpQLSdQGmwB-e1jqOKAb82mwst9uhmVoPV-R85Mq6DIexQTRqeL3w/viewform</w:t>
        </w:r>
      </w:hyperlink>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wid.notion.site/owid/Data-analysis-exercise-Our-World-in-Data-Junior-Data-Scientist-application-ab287a3c07264b4d91aadc436021b8c0" TargetMode="External"/><Relationship Id="rId10" Type="http://schemas.openxmlformats.org/officeDocument/2006/relationships/hyperlink" Target="https://uk.indeed.com/viewjob?jk=afc4c99438be80c5" TargetMode="External"/><Relationship Id="rId13" Type="http://schemas.openxmlformats.org/officeDocument/2006/relationships/header" Target="header1.xml"/><Relationship Id="rId12" Type="http://schemas.openxmlformats.org/officeDocument/2006/relationships/hyperlink" Target="https://docs.google.com/forms/d/e/1FAIpQLSdQGmwB-e1jqOKAb82mwst9uhmVoPV-R85Mq6DIexQTRqeL3w/viewfor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MoonlightO2/Our-World-in-Data" TargetMode="External"/><Relationship Id="rId7" Type="http://schemas.openxmlformats.org/officeDocument/2006/relationships/hyperlink" Target="https://colab.research.google.com/drive/1Xm1UoUyd3O5AOBT365f6ug47yyebJ_-x#scrollTo=5_eooJl7Dot8"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