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2A56"/>
          <w:sz w:val="64"/>
          <w:szCs w:val="64"/>
        </w:rPr>
        <w:t xml:space="preserve">VectorSentry</w:t>
      </w:r>
    </w:p>
    <w:p>
      <w:pPr>
        <w:spacing w:after="600" w:before="200"/>
        <w:jc w:val="center"/>
      </w:pPr>
      <w:r>
        <w:rPr>
          <w:color w:val="0E7C7B"/>
          <w:sz w:val="30"/>
          <w:szCs w:val="30"/>
        </w:rPr>
        <w:t xml:space="preserve">Supporting Documentation for Review I</w:t>
      </w:r>
    </w:p>
    <w:p>
      <w:pPr>
        <w:jc w:val="center"/>
      </w:pPr>
      <w:r>
        <w:rPr>
          <w:i/>
          <w:iCs/>
          <w:color w:val="5A6472"/>
          <w:sz w:val="22"/>
          <w:szCs w:val="22"/>
        </w:rPr>
        <w:t xml:space="preserve">Literature Survey • Rubric Self-Audit • Compliance Checks • Viva Preparation • Pre-Review Checklist</w:t>
      </w:r>
    </w:p>
    <w:p>
      <w:pPr>
        <w:spacing w:before="1200"/>
        <w:jc w:val="center"/>
      </w:pPr>
      <w:r>
        <w:rPr>
          <w:color w:val="5A6472"/>
          <w:sz w:val="22"/>
          <w:szCs w:val="22"/>
        </w:rPr>
        <w:t xml:space="preserve">UG Capstone Projects (2026-27) — Phase I, Review I</w:t>
      </w:r>
    </w:p>
    <w:p>
      <w:pPr>
        <w:jc w:val="center"/>
      </w:pPr>
      <w:r>
        <w:rPr>
          <w:b/>
          <w:bCs/>
          <w:color w:val="C97A22"/>
          <w:sz w:val="20"/>
          <w:szCs w:val="20"/>
        </w:rPr>
        <w:t xml:space="preserve">Team Member(s): [Full Name — Register No. — Department]  (add one line per member)</w:t>
      </w:r>
    </w:p>
    <w:p>
      <w:pPr>
        <w:jc w:val="center"/>
      </w:pPr>
      <w:r>
        <w:rPr>
          <w:b/>
          <w:bCs/>
          <w:color w:val="C97A22"/>
          <w:sz w:val="20"/>
          <w:szCs w:val="20"/>
        </w:rPr>
        <w:t xml:space="preserve">Guide: [Guide Name, Designation]</w:t>
      </w:r>
    </w:p>
    <w:p>
      <w:pPr>
        <w:spacing w:after="1200"/>
        <w:jc w:val="center"/>
      </w:pPr>
      <w:r>
        <w:rPr>
          <w:i/>
          <w:iCs/>
          <w:color w:val="5A6472"/>
          <w:sz w:val="18"/>
          <w:szCs w:val="18"/>
        </w:rPr>
        <w:t xml:space="preserve">This companion document accompanies VectorSentry_Review1.pptx. Read together with the presentation — the deck carries the slide-by-slide narrative; this document carries the depth the rubric and literature guidelines require but a single slide cannot hold.</w:t>
      </w:r>
    </w:p>
    <w:p>
      <w:r>
        <w:br w:type="page"/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Full Literature Survey — 15 Annotated Sources</w:t>
      </w:r>
    </w:p>
    <w:p>
      <w:pPr>
        <w:spacing w:after="120"/>
      </w:pPr>
      <w:r>
        <w:rPr>
          <w:i/>
          <w:iCs/>
          <w:color w:val="5A6472"/>
          <w:sz w:val="20"/>
          <w:szCs w:val="20"/>
        </w:rPr>
        <w:t xml:space="preserve">Every source below was individually verified (author list, venue, and year checked against the actual publication) before inclusion — none were included from memory alone. This section satisfies the Literature Survey Guideline's requirement for a Title/Author/Year/Publication, Problem Addressed, Methodology, Dataset/Tools, Results/Key Findings, Strengths &amp; Limitations, and Relation-to-Topic entry for every paper. The abbreviated 9-row comparison table on the presentation's Literature slide is drawn from this fuller set.</w:t>
      </w:r>
    </w:p>
    <w:p>
      <w:pPr>
        <w:spacing w:after="60" w:before="320"/>
      </w:pPr>
      <w:r>
        <w:rPr>
          <w:b/>
          <w:bCs/>
          <w:color w:val="0E7C7B"/>
          <w:sz w:val="24"/>
          <w:szCs w:val="24"/>
        </w:rPr>
        <w:t xml:space="preserve">1. </w:t>
      </w:r>
      <w:r>
        <w:rPr>
          <w:b/>
          <w:bCs/>
          <w:color w:val="1B2A56"/>
          <w:sz w:val="22"/>
          <w:szCs w:val="22"/>
        </w:rPr>
        <w:t xml:space="preserve">Sun, Y., Ming, Y., Zhu, X., &amp; Li, Y. (2022). Out-of-distribution detection with deep nearest neighbors. Proceedings of the 39th International Conference on Machine Learning (ICML).</w:t>
      </w:r>
    </w:p>
    <w:p>
      <w:pPr>
        <w:spacing w:after="100"/>
      </w:pPr>
      <w:r>
        <w:rPr>
          <w:i/>
          <w:iCs/>
          <w:color w:val="5A6472"/>
          <w:sz w:val="18"/>
          <w:szCs w:val="18"/>
        </w:rPr>
        <w:t xml:space="preserve">Domain classification: Core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Problem addressed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How to detect out-of-distribution (OOD) inputs in deep-learning feature spaces without assuming a parametric (e.g. Gaussian) distribution over in-distribution features.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Methodology / technique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Non-parametric k-nearest-neighbor (KNN) distance in the penultimate-layer embedding space; an input is flagged OOD if its distance to its k-th nearest in-distribution neighbor exceeds a calibrated threshold.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Dataset / tools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ImageNet-1k and CIFAR benchmark suites; standard OOD-detection evaluation protocol (FPR95, AUROC).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Results / key findings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KNN-based scoring matches or exceeds parametric OOD detectors while making no distributional assumptions — directly transferable to any embedding space, including text/document embeddings.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Strengths &amp; limitations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Model-agnostic, no retraining required, strong empirical performance. Requires storing (or indexing) the full in-distribution reference set; sensitive to choice of k; does not address what action to take once an OOD point is flagged.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Relation to this project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This is the detection mechanism VectorSentry's Module 1 (Detection) adapts — our KNN-OOD scorer is a direct application of this method to document embeddings, calibrated against a clean-baseline percentile rather than a labeled OOD set.</w:t>
            </w:r>
          </w:p>
        </w:tc>
      </w:tr>
    </w:tbl>
    <w:p>
      <w:pPr>
        <w:spacing w:after="60" w:before="320"/>
      </w:pPr>
      <w:r>
        <w:rPr>
          <w:b/>
          <w:bCs/>
          <w:color w:val="0E7C7B"/>
          <w:sz w:val="24"/>
          <w:szCs w:val="24"/>
        </w:rPr>
        <w:t xml:space="preserve">2. </w:t>
      </w:r>
      <w:r>
        <w:rPr>
          <w:b/>
          <w:bCs/>
          <w:color w:val="1B2A56"/>
          <w:sz w:val="22"/>
          <w:szCs w:val="22"/>
        </w:rPr>
        <w:t xml:space="preserve">Lu, J., Yin, W., &amp; Xu, Y. (2024). Recent advances in OOD detection: Problems and approaches. ACM Computing Surveys.</w:t>
      </w:r>
    </w:p>
    <w:p>
      <w:pPr>
        <w:spacing w:after="100"/>
      </w:pPr>
      <w:r>
        <w:rPr>
          <w:i/>
          <w:iCs/>
          <w:color w:val="5A6472"/>
          <w:sz w:val="18"/>
          <w:szCs w:val="18"/>
        </w:rPr>
        <w:t xml:space="preserve">Domain classification: Core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Problem addressed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OOD-detection literature had grown fragmented across vision, NLP, and general ML; no unified taxonomy connected detection method to deployment scenario.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Methodology / technique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Systematic literature survey and taxonomy of OOD-detection approaches, organized by detection paradigm (density-based, distance-based, classifier-based) and deployment context.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Dataset / tools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Meta-analysis across the surveyed literature; no single benchmark of its own.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Results / key findings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Confirms distance/density-based methods (including KNN-OOD) as a mature, well-validated family, but finds domain-specific OOD problems — including embedding-generation drift in vector search — remain largely unaddressed by existing taxonomy.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Strengths &amp; limitations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Comprehensive, recent (2024), gives confidence that our detection choice (KNN-OOD) sits on a mature methodological foundation. A survey, not a novel method; provides no new empirical results of its own.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Relation to this project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Confirms Cluster A of our literature landscape is mature and validates KNN-OOD as a defensible, well-grounded detector choice rather than an ad hoc one.</w:t>
            </w:r>
          </w:p>
        </w:tc>
      </w:tr>
    </w:tbl>
    <w:p>
      <w:pPr>
        <w:spacing w:after="60" w:before="320"/>
      </w:pPr>
      <w:r>
        <w:rPr>
          <w:b/>
          <w:bCs/>
          <w:color w:val="0E7C7B"/>
          <w:sz w:val="24"/>
          <w:szCs w:val="24"/>
        </w:rPr>
        <w:t xml:space="preserve">3. </w:t>
      </w:r>
      <w:r>
        <w:rPr>
          <w:b/>
          <w:bCs/>
          <w:color w:val="1B2A56"/>
          <w:sz w:val="22"/>
          <w:szCs w:val="22"/>
        </w:rPr>
        <w:t xml:space="preserve">Liu, F. T., Ting, K. M., &amp; Zhou, Z.-H. (2008). Isolation forest. Proceedings of the IEEE International Conference on Data Mining (ICDM).</w:t>
      </w:r>
    </w:p>
    <w:p>
      <w:pPr>
        <w:spacing w:after="100"/>
      </w:pPr>
      <w:r>
        <w:rPr>
          <w:i/>
          <w:iCs/>
          <w:color w:val="5A6472"/>
          <w:sz w:val="18"/>
          <w:szCs w:val="18"/>
        </w:rPr>
        <w:t xml:space="preserve">Domain classification: Core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Problem addressed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Existing anomaly-detection methods (distance- or density-based) scale poorly and implicitly assume anomalies are far from normal points in a specific geometric sense.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Methodology / technique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Isolates anomalies by randomly partitioning feature space; anomalies require fewer random splits to isolate than normal points, giving an anomaly score from average path length across an ensemble of random trees.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Dataset / tools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Standard anomaly-detection benchmarks (e.g. UCI-derived outlier datasets).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Results / key findings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Achieves linear time complexity and low memory, with detection performance competitive with distance-based methods, especially at scale.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Strengths &amp; limitations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Highly scalable; no distance computation needed; well-established, widely implemented (scikit-learn). General-purpose; not evaluated on embedding-space anisotropy or high-dimensional dense-vector geometry specifically.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Relation to this project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Evaluated as an alternative Phase-1-baseline detector alongside KNN-OOD and LOF; included in our detection comparison (sub-phase 1C) even though KNN-OOD was ultimately the strongest performer on our benchmark.</w:t>
            </w:r>
          </w:p>
        </w:tc>
      </w:tr>
    </w:tbl>
    <w:p>
      <w:pPr>
        <w:spacing w:after="60" w:before="320"/>
      </w:pPr>
      <w:r>
        <w:rPr>
          <w:b/>
          <w:bCs/>
          <w:color w:val="0E7C7B"/>
          <w:sz w:val="24"/>
          <w:szCs w:val="24"/>
        </w:rPr>
        <w:t xml:space="preserve">4. </w:t>
      </w:r>
      <w:r>
        <w:rPr>
          <w:b/>
          <w:bCs/>
          <w:color w:val="1B2A56"/>
          <w:sz w:val="22"/>
          <w:szCs w:val="22"/>
        </w:rPr>
        <w:t xml:space="preserve">Breunig, M. M., Kriegel, H.-P., Ng, R. T., &amp; Sander, J. (2000). LOF: Identifying density-based local outliers. Proceedings of the ACM SIGMOD International Conference on Management of Data.</w:t>
      </w:r>
    </w:p>
    <w:p>
      <w:pPr>
        <w:spacing w:after="100"/>
      </w:pPr>
      <w:r>
        <w:rPr>
          <w:i/>
          <w:iCs/>
          <w:color w:val="5A6472"/>
          <w:sz w:val="18"/>
          <w:szCs w:val="18"/>
        </w:rPr>
        <w:t xml:space="preserve">Domain classification: Core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Problem addressed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Global-distance anomaly definitions fail when normal-point density varies across a dataset — a point can be locally anomalous without being globally distant from all data.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Methodology / technique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Local Outlier Factor: compares a point's local density to the local density of its neighbors, giving a relative, density-aware anomaly score.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Dataset / tools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Synthetic and real-world clustering/outlier benchmarks used in the original SIGMOD evaluation.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Results / key findings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Detects anomalies that pure distance-based methods miss when data density is non-uniform — relevant because contaminated document embeddings do not form a uniform-density cluster.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Strengths &amp; limitations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Foundational, still a standard anomaly-detection baseline 25 years later; principled handling of variable density. Same generality gap as Isolation Forest — general-purpose, not tuned for embedding-generation mismatch specifically; computationally heavier than KNN-OOD at scale.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Relation to this project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third detector compared in our Phase 1 detection benchmark (sub-phase 1C); underperformed KNN-OOD on our primary configuration, documented honestly rather than omitted.</w:t>
            </w:r>
          </w:p>
        </w:tc>
      </w:tr>
    </w:tbl>
    <w:p>
      <w:pPr>
        <w:spacing w:after="60" w:before="320"/>
      </w:pPr>
      <w:r>
        <w:rPr>
          <w:b/>
          <w:bCs/>
          <w:color w:val="0E7C7B"/>
          <w:sz w:val="24"/>
          <w:szCs w:val="24"/>
        </w:rPr>
        <w:t xml:space="preserve">5. </w:t>
      </w:r>
      <w:r>
        <w:rPr>
          <w:b/>
          <w:bCs/>
          <w:color w:val="1B2A56"/>
          <w:sz w:val="22"/>
          <w:szCs w:val="22"/>
        </w:rPr>
        <w:t xml:space="preserve">Vejendla, H. (2025). Drift-Adapter: A lightweight framework for continuous dense retrieval adaptation. Proceedings of the Conference on Empirical Methods in Natural Language Processing (EMNLP).</w:t>
      </w:r>
    </w:p>
    <w:p>
      <w:pPr>
        <w:spacing w:after="100"/>
      </w:pPr>
      <w:r>
        <w:rPr>
          <w:i/>
          <w:iCs/>
          <w:color w:val="5A6472"/>
          <w:sz w:val="18"/>
          <w:szCs w:val="18"/>
        </w:rPr>
        <w:t xml:space="preserve">Domain classification: Core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Problem addressed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 re-embedding of a corpus after an embedding-model update is computationally expensive; systems need a cheap way to keep old embeddings usable after a model change.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Methodology / technique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lightweight learned adapter (linear / orthogonal-Procrustes / small MLP variants) that maps old-generation embeddings into the new generation's space without querying the new model on the original documents.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Dataset / tools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Dense-retrieval benchmarks (BEIR-style); evaluated across multiple embedding-model version pairs.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Results / key findings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Recovers 95–99% of full re-embedding's retrieval recall at roughly 1% of the compute cost.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Strengths &amp; limitations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Extremely cost-efficient; directly validates that cheap post-hoc realignment is viable, not just full re-embed. Applies one uniform adapter to the entire corpus — does not decide which documents most need the (still imperfect) fix under a constrained budget; single-author work, published 2025 (very recent, limited independent replication yet).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Relation to this project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This is the single most load-bearing paper for our own contribution: VectorSentry's Patch action is directly modeled on Drift-Adapter's approach, and our research gap is precisely the budget-aware, per-document decision layer this paper does not provide.</w:t>
            </w:r>
          </w:p>
        </w:tc>
      </w:tr>
    </w:tbl>
    <w:p>
      <w:pPr>
        <w:spacing w:after="60" w:before="320"/>
      </w:pPr>
      <w:r>
        <w:rPr>
          <w:b/>
          <w:bCs/>
          <w:color w:val="0E7C7B"/>
          <w:sz w:val="24"/>
          <w:szCs w:val="24"/>
        </w:rPr>
        <w:t xml:space="preserve">6. </w:t>
      </w:r>
      <w:r>
        <w:rPr>
          <w:b/>
          <w:bCs/>
          <w:color w:val="1B2A56"/>
          <w:sz w:val="22"/>
          <w:szCs w:val="22"/>
        </w:rPr>
        <w:t xml:space="preserve">Hu, Y., Bansal, S., Cao, K., Rao, R., Subbian, K., &amp; Leskovec, J. (2022). Learning backward compatible embeddings. Proceedings of the 28th ACM SIGKDD Conference on Knowledge Discovery and Data Mining (KDD).</w:t>
      </w:r>
    </w:p>
    <w:p>
      <w:pPr>
        <w:spacing w:after="100"/>
      </w:pPr>
      <w:r>
        <w:rPr>
          <w:i/>
          <w:iCs/>
          <w:color w:val="5A6472"/>
          <w:sz w:val="18"/>
          <w:szCs w:val="18"/>
        </w:rPr>
        <w:t xml:space="preserve">Domain classification: Core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Problem addressed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Deploying a new, better embedding model normally requires re-encoding (backfilling) the entire existing corpus before it can be used safely alongside the new model's outputs.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Methodology / technique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Trains the new embedding model with an explicit backward-compatibility objective so its outputs are directly comparable to the old model's outputs, avoiding the need to re-embed old data at all.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Dataset / tools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Large-scale industrial retrieval/recommendation datasets.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Results / key findings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New models can be deployed without any backfill while preserving retrieval quality against the legacy embedding population.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Strengths &amp; limitations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Solves the same underlying problem (mixed-generation embeddings) from the model-training side rather than the post-hoc-repair side — gives a valuable contrasting perspective. Requires control over the training of the new embedding model itself — not applicable to teams consuming third-party embedding APIs (OpenAI, Cohere) where the model is a black box; still a single uniform strategy, not per-document.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Relation to this project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Represents the 'prevent the problem at training time' alternative to our 'detect and remediate after the fact' approach — discussed in our literature landscape as a complementary, not competing, strategy, since it doesn't apply when the embedding provider is external.</w:t>
            </w:r>
          </w:p>
        </w:tc>
      </w:tr>
    </w:tbl>
    <w:p>
      <w:pPr>
        <w:spacing w:after="60" w:before="320"/>
      </w:pPr>
      <w:r>
        <w:rPr>
          <w:b/>
          <w:bCs/>
          <w:color w:val="0E7C7B"/>
          <w:sz w:val="24"/>
          <w:szCs w:val="24"/>
        </w:rPr>
        <w:t xml:space="preserve">7. </w:t>
      </w:r>
      <w:r>
        <w:rPr>
          <w:b/>
          <w:bCs/>
          <w:color w:val="1B2A56"/>
          <w:sz w:val="22"/>
          <w:szCs w:val="22"/>
        </w:rPr>
        <w:t xml:space="preserve">Lample, G., Conneau, A., Ranzato, M., Denoyer, L., &amp; Jégou, H. (2018). Word translation without parallel data. Proceedings of the International Conference on Learning Representations (ICLR).</w:t>
      </w:r>
    </w:p>
    <w:p>
      <w:pPr>
        <w:spacing w:after="100"/>
      </w:pPr>
      <w:r>
        <w:rPr>
          <w:i/>
          <w:iCs/>
          <w:color w:val="5A6472"/>
          <w:sz w:val="18"/>
          <w:szCs w:val="18"/>
        </w:rPr>
        <w:t xml:space="preserve">Domain classification: Interdisciplinary (NLP / cross-lingual representation learning)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Problem addressed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Aligning two independently-trained word-embedding spaces (e.g. across languages) without any parallel supervision data.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Methodology / technique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Adversarial training to obtain an initial rough mapping between spaces, refined via iterative orthogonal Procrustes alignment (MUSE).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Dataset / tools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fastText monolingual word embeddings across multiple languages; bilingual dictionary induction and word-translation evaluation.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Results / key findings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single learned orthogonal linear transform can align two independently-trained embedding spaces to near-supervised accuracy, with no parallel training signal.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Strengths &amp; limitations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Landmark, heavily-cited (2018) result establishing that geometric realignment between embedding spaces is a solved, well-understood sub-problem. Designed for cross-lingual word embeddings, which are more nearly isomorphic than two generations of a sentence-embedding model; assumes no budget constraint on applying the transform.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Relation to this project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Theoretical foundation for the orthogonal-Procrustes patch mechanism used in VectorSentry's Patch action — included as a foundational/landmark work predating our 2020–2024 recency window deliberately, to ground the technique historically.</w:t>
            </w:r>
          </w:p>
        </w:tc>
      </w:tr>
    </w:tbl>
    <w:p>
      <w:pPr>
        <w:spacing w:after="60" w:before="320"/>
      </w:pPr>
      <w:r>
        <w:rPr>
          <w:b/>
          <w:bCs/>
          <w:color w:val="0E7C7B"/>
          <w:sz w:val="24"/>
          <w:szCs w:val="24"/>
        </w:rPr>
        <w:t xml:space="preserve">8. </w:t>
      </w:r>
      <w:r>
        <w:rPr>
          <w:b/>
          <w:bCs/>
          <w:color w:val="1B2A56"/>
          <w:sz w:val="22"/>
          <w:szCs w:val="22"/>
        </w:rPr>
        <w:t xml:space="preserve">Malkov, Y. A., &amp; Yashunin, D. A. (2020). Efficient and robust approximate nearest neighbor search using hierarchical navigable small world graphs. IEEE Transactions on Pattern Analysis and Machine Intelligence (TPAMI).</w:t>
      </w:r>
    </w:p>
    <w:p>
      <w:pPr>
        <w:spacing w:after="100"/>
      </w:pPr>
      <w:r>
        <w:rPr>
          <w:i/>
          <w:iCs/>
          <w:color w:val="5A6472"/>
          <w:sz w:val="18"/>
          <w:szCs w:val="18"/>
        </w:rPr>
        <w:t xml:space="preserve">Domain classification: Core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Problem addressed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Exact nearest-neighbor search does not scale to large, high-dimensional vector collections; existing approximate methods traded off recall, speed, and memory poorly.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Methodology / technique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Hierarchical Navigable Small World (HNSW) graphs — a multi-layer proximity graph enabling logarithmic-complexity approximate search.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Dataset / tools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SIFT1M, GIST1M, DEEP1B and related large-scale ANN benchmark datasets.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Results / key findings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HNSW achieves state-of-the-art recall/speed trade-offs and became the de facto standard indexing algorithm behind most production vector databases.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Strengths &amp; limitations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Extremely well-validated; near-universal industrial adoption (FAISS, Pinecone, Weaviate, Milvus, Qdrant all implement HNSW or a close variant). Assumes a geometrically consistent embedding space across the whole index — an assumption silently violated by mixed-generation contamination, which is exactly the failure mode this project targets.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Relation to this project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Foundational systems literature: explains why contamination is dangerous specifically for HNSW-indexed production systems, and grounds our System Architecture slide's framing of 'the live index.'</w:t>
            </w:r>
          </w:p>
        </w:tc>
      </w:tr>
    </w:tbl>
    <w:p>
      <w:pPr>
        <w:spacing w:after="60" w:before="320"/>
      </w:pPr>
      <w:r>
        <w:rPr>
          <w:b/>
          <w:bCs/>
          <w:color w:val="0E7C7B"/>
          <w:sz w:val="24"/>
          <w:szCs w:val="24"/>
        </w:rPr>
        <w:t xml:space="preserve">9. </w:t>
      </w:r>
      <w:r>
        <w:rPr>
          <w:b/>
          <w:bCs/>
          <w:color w:val="1B2A56"/>
          <w:sz w:val="22"/>
          <w:szCs w:val="22"/>
        </w:rPr>
        <w:t xml:space="preserve">Pan, J. J., Wang, J., &amp; Li, G. (2024). Survey of vector database management systems. The VLDB Journal, Springer.</w:t>
      </w:r>
    </w:p>
    <w:p>
      <w:pPr>
        <w:spacing w:after="100"/>
      </w:pPr>
      <w:r>
        <w:rPr>
          <w:i/>
          <w:iCs/>
          <w:color w:val="5A6472"/>
          <w:sz w:val="18"/>
          <w:szCs w:val="18"/>
        </w:rPr>
        <w:t xml:space="preserve">Domain classification: Core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Problem addressed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Vector database systems proliferated rapidly (2020–2024) with no unified survey of their architectures, indexing strategies, and operational trade-offs.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Methodology / technique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Systematic survey and taxonomy of 20+ commercial and open-source vector database management systems.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Dataset / tools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Comparative analysis across surveyed systems; no single experimental benchmark.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Results / key findings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Documents the rapid growth of the vector-database ecosystem (20+ systems) but identifies post-deployment embedding-integrity management as an open, under-addressed operational concern.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Strengths &amp; limitations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Recent (2024), comprehensive, published in a top systems venue (VLDB Journal); gives strong quantitative evidence of real-world relevance. Surveys system architecture, not the specific contamination-remediation problem; provides no method of its own.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Relation to this project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Primary evidentiary source for our Real-World Relevance slide's '20+ commercial systems' statistic, and for establishing that this is an active, growing production domain.</w:t>
            </w:r>
          </w:p>
        </w:tc>
      </w:tr>
    </w:tbl>
    <w:p>
      <w:pPr>
        <w:spacing w:after="60" w:before="320"/>
      </w:pPr>
      <w:r>
        <w:rPr>
          <w:b/>
          <w:bCs/>
          <w:color w:val="0E7C7B"/>
          <w:sz w:val="24"/>
          <w:szCs w:val="24"/>
        </w:rPr>
        <w:t xml:space="preserve">10. </w:t>
      </w:r>
      <w:r>
        <w:rPr>
          <w:b/>
          <w:bCs/>
          <w:color w:val="1B2A56"/>
          <w:sz w:val="22"/>
          <w:szCs w:val="22"/>
        </w:rPr>
        <w:t xml:space="preserve">Muennighoff, N., Tazi, N., Magne, L., &amp; Reimers, N. (2023). MTEB: Massive text embedding benchmark. Proceedings of the Association for Computational Linguistics (ACL).</w:t>
      </w:r>
    </w:p>
    <w:p>
      <w:pPr>
        <w:spacing w:after="100"/>
      </w:pPr>
      <w:r>
        <w:rPr>
          <w:i/>
          <w:iCs/>
          <w:color w:val="5A6472"/>
          <w:sz w:val="18"/>
          <w:szCs w:val="18"/>
        </w:rPr>
        <w:t xml:space="preserve">Domain classification: Core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Problem addressed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Text-embedding model evaluation was fragmented across inconsistent, task-specific benchmarks, making model comparison unreliable.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Methodology / technique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unified benchmark spanning 8 embedding task types (retrieval, clustering, classification, STS, etc.) across 58+ datasets.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Dataset / tools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MTEB benchmark suite itself, aggregating many existing IR/NLP datasets.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Results / key findings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single embedding model dominates across all task types — model choice is task-dependent, and models are frequently updated/replaced as better ones emerge on the leaderboard.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Strengths &amp; limitations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Became the standard reference for embedding-model quality comparison; widely adopted (Hugging Face leaderboard). A static snapshot benchmark — does not evaluate post-deployment drift or mixed-generation scenarios, and does not test what happens when a corpus is only partially migrated to a new model.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Relation to this project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Explains the practical trigger for our problem: MTEB-driven model churn is exactly why production teams keep swapping embedding models, creating the mixed-generation scenario VectorSentry addresses.</w:t>
            </w:r>
          </w:p>
        </w:tc>
      </w:tr>
    </w:tbl>
    <w:p>
      <w:pPr>
        <w:spacing w:after="60" w:before="320"/>
      </w:pPr>
      <w:r>
        <w:rPr>
          <w:b/>
          <w:bCs/>
          <w:color w:val="0E7C7B"/>
          <w:sz w:val="24"/>
          <w:szCs w:val="24"/>
        </w:rPr>
        <w:t xml:space="preserve">11. </w:t>
      </w:r>
      <w:r>
        <w:rPr>
          <w:b/>
          <w:bCs/>
          <w:color w:val="1B2A56"/>
          <w:sz w:val="22"/>
          <w:szCs w:val="22"/>
        </w:rPr>
        <w:t xml:space="preserve">Fuster Baggetto, A., &amp; Fresno, V. (2022). Is anisotropy truly harmful for dense retrieval? Findings of the Association for Computational Linguistics: EMNLP 2022.</w:t>
      </w:r>
    </w:p>
    <w:p>
      <w:pPr>
        <w:spacing w:after="100"/>
      </w:pPr>
      <w:r>
        <w:rPr>
          <w:i/>
          <w:iCs/>
          <w:color w:val="5A6472"/>
          <w:sz w:val="18"/>
          <w:szCs w:val="18"/>
        </w:rPr>
        <w:t xml:space="preserve">Domain classification: Core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Problem addressed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Prior work assumed embedding anisotropy (vectors clustering in a narrow cone rather than spreading isotropically) uniformly harms downstream dense-retrieval quality; this assumption had not been rigorously tested.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Methodology / technique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Empirical analysis measuring anisotropy across multiple sentence-embedding models and correlating it with actual retrieval performance.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Dataset / tools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Standard IR and semantic-textual-similarity (STS) benchmarks.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Results / key findings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Anisotropy's practical harm to retrieval quality is more nuanced and model-dependent than the prior consensus assumed.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Strengths &amp; limitations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Empirically rigorous, challenges a widely-cited assumption with direct evidence. Focuses on anisotropy within a single embedding generation, not the mixed-generation, multi-geometry scenario this project studies.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Relation to this project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Directly informed our decision to run a dedicated anisotropy stress test (sub-phase 1C bonus finding, aniso_stress_bge) confirming that a highly anisotropic model pairing can invert or nullify detector signal — an original empirical contribution of our own that extends this paper's question into the mixed-generation setting.</w:t>
            </w:r>
          </w:p>
        </w:tc>
      </w:tr>
    </w:tbl>
    <w:p>
      <w:pPr>
        <w:spacing w:after="60" w:before="320"/>
      </w:pPr>
      <w:r>
        <w:rPr>
          <w:b/>
          <w:bCs/>
          <w:color w:val="0E7C7B"/>
          <w:sz w:val="24"/>
          <w:szCs w:val="24"/>
        </w:rPr>
        <w:t xml:space="preserve">12. </w:t>
      </w:r>
      <w:r>
        <w:rPr>
          <w:b/>
          <w:bCs/>
          <w:color w:val="1B2A56"/>
          <w:sz w:val="22"/>
          <w:szCs w:val="22"/>
        </w:rPr>
        <w:t xml:space="preserve">Sinha, P., &amp; Zoltners, A. A. (1979). The multiple-choice knapsack problem. Operations Research, 27(3).</w:t>
      </w:r>
    </w:p>
    <w:p>
      <w:pPr>
        <w:spacing w:after="100"/>
      </w:pPr>
      <w:r>
        <w:rPr>
          <w:i/>
          <w:iCs/>
          <w:color w:val="5A6472"/>
          <w:sz w:val="18"/>
          <w:szCs w:val="18"/>
        </w:rPr>
        <w:t xml:space="preserve">Domain classification: Interdisciplinary (Operations Research)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Problem addressed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Classic resource-allocation problem: given groups of mutually-exclusive items (choose at most one per group), each with a cost and value, and one shared budget, find the value-maximizing selection.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Methodology / technique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Exact branch-and-bound / dynamic-programming formulation of the Multiple-Choice Knapsack Problem (MCKP), plus efficient approximation bounds.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Dataset / tools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applicable — a theoretical Operations Research paper with worked numerical examples, not an empirical ML paper.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Results / key findings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Establishes the exact and approximate solution theory for the one-choice-per-group knapsack structure that underlies any '3 mutually exclusive actions per item, 1 shared budget' decision problem.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Strengths &amp; limitations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Foundational (1979), mathematically rigorous, still the standard reference formulation for this exact problem structure 45+ years later. Purely theoretical; never applied to embedding remediation, vector databases, or any ML-systems problem — that application is entirely our own.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Relation to this project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This is the mathematical core of VectorSentry's Prioritization module (M2): our {Full Re-embed, Patch, Defer} per-document decision under one shared budget is a direct instantiation of this 1979 MCKP formulation, solved both exactly (ILP) and via a frontier-greedy approximation.</w:t>
            </w:r>
          </w:p>
        </w:tc>
      </w:tr>
    </w:tbl>
    <w:p>
      <w:pPr>
        <w:spacing w:after="60" w:before="320"/>
      </w:pPr>
      <w:r>
        <w:rPr>
          <w:b/>
          <w:bCs/>
          <w:color w:val="0E7C7B"/>
          <w:sz w:val="24"/>
          <w:szCs w:val="24"/>
        </w:rPr>
        <w:t xml:space="preserve">13. </w:t>
      </w:r>
      <w:r>
        <w:rPr>
          <w:b/>
          <w:bCs/>
          <w:color w:val="1B2A56"/>
          <w:sz w:val="22"/>
          <w:szCs w:val="22"/>
        </w:rPr>
        <w:t xml:space="preserve">Breslau, L., Cao, P., Fan, L., Phillips, G., &amp; Shenker, S. (1999). Web caching and Zipf-like distributions: Evidence and implications. Proceedings of IEEE INFOCOM.</w:t>
      </w:r>
    </w:p>
    <w:p>
      <w:pPr>
        <w:spacing w:after="100"/>
      </w:pPr>
      <w:r>
        <w:rPr>
          <w:i/>
          <w:iCs/>
          <w:color w:val="5A6472"/>
          <w:sz w:val="18"/>
          <w:szCs w:val="18"/>
        </w:rPr>
        <w:t xml:space="preserve">Domain classification: Interdisciplinary (networking / systems)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Problem addressed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Understanding the statistical distribution of real-world web request traffic, to inform caching-system design.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Methodology / technique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Empirical measurement and statistical fitting of web-request traffic logs.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Dataset / tools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Real web-proxy traffic logs.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Results / key findings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Real request traffic to web objects follows a Zipf-like (highly skewed, power-law) distribution — a small fraction of objects receive most of the requests.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Strengths &amp; limitations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Landmark networking-systems result (1999), extremely well-validated and still cited as the standard traffic model in systems research. About web-object request traffic specifically, not vector-database query traffic — the extension to IR query traffic is an assumption we make, not something this paper itself demonstrates.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Relation to this project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Directly grounds VectorSentry's traffic-weighted benefit function: because real query traffic is Zipf-distributed, a rarely-queried contaminated document and a heavily-queried one are not equally urgent to fix — our benchmark's query-traffic model is built on this result.</w:t>
            </w:r>
          </w:p>
        </w:tc>
      </w:tr>
    </w:tbl>
    <w:p>
      <w:pPr>
        <w:spacing w:after="60" w:before="320"/>
      </w:pPr>
      <w:r>
        <w:rPr>
          <w:b/>
          <w:bCs/>
          <w:color w:val="0E7C7B"/>
          <w:sz w:val="24"/>
          <w:szCs w:val="24"/>
        </w:rPr>
        <w:t xml:space="preserve">14. </w:t>
      </w:r>
      <w:r>
        <w:rPr>
          <w:b/>
          <w:bCs/>
          <w:color w:val="1B2A56"/>
          <w:sz w:val="22"/>
          <w:szCs w:val="22"/>
        </w:rPr>
        <w:t xml:space="preserve">Karval, R., &amp; Singh, A. (2023). Silent failures in machine learning production systems. IEEE Conference Publication.</w:t>
      </w:r>
    </w:p>
    <w:p>
      <w:pPr>
        <w:spacing w:after="100"/>
      </w:pPr>
      <w:r>
        <w:rPr>
          <w:i/>
          <w:iCs/>
          <w:color w:val="5A6472"/>
          <w:sz w:val="18"/>
          <w:szCs w:val="18"/>
        </w:rPr>
        <w:t xml:space="preserve">Domain classification: Interdisciplinary (MLOps / software engineering)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Problem addressed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Conventional monitoring (exceptions, crash logs, uptime checks) fails to catch a distinct category of ML production failure: the system keeps running and returning outputs, but those outputs have silently degraded in quality.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Methodology / technique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Taxonomy and case-study review of silent-failure modes across deployed ML systems.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Dataset / tools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Case studies drawn from production ML incident reports.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Results / key findings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Establishes 'silent failure' as a distinct, systematically under-monitored category of production ML risk, separate from crashes or latency regressions.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Strengths &amp; limitations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Names and frames precisely the failure category VectorSentry addresses; recent (2023); directly supports the 'why is this silent and dangerous' framing on our Problem Statement slide. General MLOps treatment across ML systems broadly — does not specifically address vector databases, embeddings, or retrieval quality.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Relation to this project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Provides the general MLOps vocabulary and framing (“silent failure”) that our Problem Statement slide applies specifically to mixed-generation embedding contamination.</w:t>
            </w:r>
          </w:p>
        </w:tc>
      </w:tr>
    </w:tbl>
    <w:p>
      <w:pPr>
        <w:spacing w:after="60" w:before="320"/>
      </w:pPr>
      <w:r>
        <w:rPr>
          <w:b/>
          <w:bCs/>
          <w:color w:val="0E7C7B"/>
          <w:sz w:val="24"/>
          <w:szCs w:val="24"/>
        </w:rPr>
        <w:t xml:space="preserve">15. </w:t>
      </w:r>
      <w:r>
        <w:rPr>
          <w:b/>
          <w:bCs/>
          <w:color w:val="1B2A56"/>
          <w:sz w:val="22"/>
          <w:szCs w:val="22"/>
        </w:rPr>
        <w:t xml:space="preserve">Wu, K., Wu, E., &amp; Zou, J. (2024). How faithful are RAG models? Quantifying the tug-of-war between RAG and LLMs' internal prior. arXiv preprint.</w:t>
      </w:r>
    </w:p>
    <w:p>
      <w:pPr>
        <w:spacing w:after="100"/>
      </w:pPr>
      <w:r>
        <w:rPr>
          <w:i/>
          <w:iCs/>
          <w:color w:val="5A6472"/>
          <w:sz w:val="18"/>
          <w:szCs w:val="18"/>
        </w:rPr>
        <w:t xml:space="preserve">Domain classification: Interdisciplinary (RAG / LLM evaluation)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Problem addressed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Retrieval-Augmented Generation (RAG) systems can produce unfaithful answers when retrieved context conflicts with the underlying language model's own internal knowledge; the relative contribution of retrieval quality to this failure was not well quantified.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Methodology / technique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Controlled empirical study varying retrieved-context correctness and measuring how often the LLM follows the (possibly wrong) retrieved context versus its own prior.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Dataset / tools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Question-answering datasets with deliberately perturbed / conflicting retrieved context.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Results / key findings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Retrieval quality is a first-order determinant of RAG faithfulness — degraded retrieval measurably degrades downstream answer correctness, not just relevance ranking.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Strengths &amp; limitations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Directly connects retrieval-quality degradation (exactly what our contamination causes) to a concrete, user-visible downstream harm in RAG applications. ⚠ arXiv preprint at time of citation, not yet published in a peer-reviewed venue — flagged explicitly in the Literature-Guideline Compliance Audit below as a disclosed deviation from the “scholarly articles only” requirement, not a hidden one.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Relation to this project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Motivates why contamination matters beyond raw nDCG@10: in a RAG deployment, VectorSentry's problem translates directly into unfaithful, hallucination-prone generated answers.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1.1 Full Comparison Table (all 15 sources, guideline column format)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400"/>
        <w:gridCol w:w="1500"/>
        <w:gridCol w:w="1500"/>
        <w:gridCol w:w="1500"/>
        <w:gridCol w:w="1500"/>
        <w:gridCol w:w="1500"/>
      </w:tblGrid>
      <w:tr>
        <w:tc>
          <w:tcPr>
            <w:tcW w:type="dxa" w:w="45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Sl. No.</w:t>
            </w:r>
          </w:p>
        </w:tc>
        <w:tc>
          <w:tcPr>
            <w:tcW w:type="dxa" w:w="140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Author(s), Year</w:t>
            </w:r>
          </w:p>
        </w:tc>
        <w:tc>
          <w:tcPr>
            <w:tcW w:type="dxa" w:w="150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150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Tools/Dataset</w:t>
            </w:r>
          </w:p>
        </w:tc>
        <w:tc>
          <w:tcPr>
            <w:tcW w:type="dxa" w:w="150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Findings</w:t>
            </w:r>
          </w:p>
        </w:tc>
        <w:tc>
          <w:tcPr>
            <w:tcW w:type="dxa" w:w="150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 Identified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Sun, Y., Ming, Y., Zhu, X., &amp; Li, Y., 2022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Out-of-distribution detection with deep nearest neighbors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Non-parametric k-nearest-neighbor (KNN) distance in the penultimate-layer embedding space; an input is flagged OOD if its distance to its k-th nearest in-distribution neighbor exceeds a calibrated threshold.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ImageNet-1k and CIFAR benchmark suites; standard OOD-detection evaluation protocol (FPR95, AUROC).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KNN-based scoring matches or exceeds parametric OOD detectors while making no distributional assumptions — directly transferable to any embedding space, including text/document embeddings.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Requires storing (or indexing) the full in-distribution reference set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Lu, J., Yin, W., &amp; Xu, Y., 2024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Recent advances in OOD detection: Problems and approaches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Systematic literature survey and taxonomy of OOD-detection approaches, organized by detection paradigm (density-based, distance-based, classifier-based) and deployment context.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Meta-analysis across the surveyed literature; no single benchmark of its own.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Confirms distance/density-based methods (including KNN-OOD) as a mature, well-validated family, but finds domain-specific OOD problems — including embedding-generation drift in vector search — remain largely unaddressed by existing taxonomy.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 survey, not a novel method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Liu, F. T., Ting, K. M., &amp; Zhou, Z.-H., 2008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Isolation forest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Isolates anomalies by randomly partitioning feature space; anomalies require fewer random splits to isolate than normal points, giving an anomaly score from average path length across an ensemble of random trees.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anomaly-detection benchmarks (e.g. UCI-derived outlier datasets).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Achieves linear time complexity and low memory, with detection performance competitive with distance-based methods, especially at scale.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General-purpose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Breunig, M. M., Kriegel, H.-P., Ng, R. T., &amp; Sander, J., 2000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LOF: Identifying density-based local outliers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Local Outlier Factor: compares a point's local density to the local density of its neighbors, giving a relative, density-aware anomaly score.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Synthetic and real-world clustering/outlier benchmarks used in the original SIGMOD evaluation.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Detects anomalies that pure distance-based methods miss when data density is non-uniform — relevant because contaminated document embeddings do not form a uniform-density cluster.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Same generality gap as Isolation Forest — general-purpose, not tuned for embedding-generation mismatch specifically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Vejendla, H., 2025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Drift-Adapter: A lightweight framework for continuous dense retrieval adaptation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 lightweight learned adapter (linear / orthogonal-Procrustes / small MLP variants) that maps old-generation embeddings into the new generation's space without querying the new model on the original documents.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Dense-retrieval benchmarks (BEIR-style); evaluated across multiple embedding-model version pairs.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Recovers 95–99% of full re-embedding's retrieval recall at roughly 1% of the compute cost.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Applies one uniform adapter to the entire corpus — does not decide which documents most need the (still imperfect) fix under a constrained budget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Hu, Y., Bansal, S., Cao, K., Rao, R., Subbian, K., &amp; Leskovec, J., 2022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Learning backward compatible embeddings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Trains the new embedding model with an explicit backward-compatibility objective so its outputs are directly comparable to the old model's outputs, avoiding the need to re-embed old data at all.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Large-scale industrial retrieval/recommendation datasets.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New models can be deployed without any backfill while preserving retrieval quality against the legacy embedding population.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Requires control over the training of the new embedding model itself — not applicable to teams consuming third-party embedding APIs (OpenAI, Cohere) where the model is a black box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Lample, G., Conneau, A., Ranzato, M., Denoyer, L., &amp; Jégou, H., 2018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Word translation without parallel data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Adversarial training to obtain an initial rough mapping between spaces, refined via iterative orthogonal Procrustes alignment (MUSE).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fastText monolingual word embeddings across multiple languages; bilingual dictionary induction and word-translation evaluation.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 single learned orthogonal linear transform can align two independently-trained embedding spaces to near-supervised accuracy, with no parallel training signal.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Designed for cross-lingual word embeddings, which are more nearly isomorphic than two generations of a sentence-embedding model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Malkov, Y. A., &amp; Yashunin, D. A., 2020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Efficient and robust approximate nearest neighbor search using hierarchical navigable small world graphs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Hierarchical Navigable Small World (HNSW) graphs — a multi-layer proximity graph enabling logarithmic-complexity approximate search.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SIFT1M, GIST1M, DEEP1B and related large-scale ANN benchmark datasets.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HNSW achieves state-of-the-art recall/speed trade-offs and became the de facto standard indexing algorithm behind most production vector databases.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Assumes a geometrically consistent embedding space across the whole index — an assumption silently violated by mixed-generation contamination, which is exactly the failure mode this project targets.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Pan, J. J., Wang, J., &amp; Li, G., 2024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Survey of vector database management systems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Systematic survey and taxonomy of 20+ commercial and open-source vector database management systems.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Comparative analysis across surveyed systems; no single experimental benchmark.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Documents the rapid growth of the vector-database ecosystem (20+ systems) but identifies post-deployment embedding-integrity management as an open, under-addressed operational concern.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Surveys system architecture, not the specific contamination-remediation problem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Muennighoff, N., Tazi, N., Magne, L., &amp; Reimers, N., 2023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MTEB: Massive text embedding benchmark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 unified benchmark spanning 8 embedding task types (retrieval, clustering, classification, STS, etc.) across 58+ datasets.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MTEB benchmark suite itself, aggregating many existing IR/NLP datasets.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 single embedding model dominates across all task types — model choice is task-dependent, and models are frequently updated/replaced as better ones emerge on the leaderboard.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 static snapshot benchmark — does not evaluate post-deployment drift or mixed-generation scenarios, and does not test what happens when a corpus is only partially migrated to a new model.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Fuster Baggetto, A., &amp; Fresno, V., 2022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Is anisotropy truly harmful for dense retrieval? Findings of the Association for Computational Linguistics: EMNLP 2022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Empirical analysis measuring anisotropy across multiple sentence-embedding models and correlating it with actual retrieval performance.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IR and semantic-textual-similarity (STS) benchmarks.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Anisotropy's practical harm to retrieval quality is more nuanced and model-dependent than the prior consensus assumed.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Focuses on anisotropy within a single embedding generation, not the mixed-generation, multi-geometry scenario this project studies.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12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Sinha, P., &amp; Zoltners, A. A., 1979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The multiple-choice knapsack problem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Exact branch-and-bound / dynamic-programming formulation of the Multiple-Choice Knapsack Problem (MCKP), plus efficient approximation bounds.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— a theoretical Operations Research paper with worked numerical examples, not an empirical ML paper.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Establishes the exact and approximate solution theory for the one-choice-per-group knapsack structure that underlies any '3 mutually exclusive actions per item, 1 shared budget' decision problem.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Purely theoretical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13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Breslau, L., Cao, P., Fan, L., Phillips, G., &amp; Shenker, S., 1999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Web caching and Zipf-like distributions: Evidence and implications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Empirical measurement and statistical fitting of web-request traffic logs.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Real web-proxy traffic logs.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Real request traffic to web objects follows a Zipf-like (highly skewed, power-law) distribution — a small fraction of objects receive most of the requests.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About web-object request traffic specifically, not vector-database query traffic — the extension to IR query traffic is an assumption we make, not something this paper itself demonstrates.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14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Karval, R., &amp; Singh, A., 2023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Silent failures in machine learning production systems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Taxonomy and case-study review of silent-failure modes across deployed ML systems.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Case studies drawn from production ML incident reports.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Establishes 'silent failure' as a distinct, systematically under-monitored category of production ML risk, separate from crashes or latency regressions.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General MLOps treatment across ML systems broadly — does not specifically address vector databases, embeddings, or retrieval quality.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15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Wu, K., Wu, E., &amp; Zou, J., 2024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How faithful are RAG models? Quantifying the tug-of-war between RAG and LLMs' internal prior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Controlled empirical study varying retrieved-context correctness and measuring how often the LLM follows the (possibly wrong) retrieved context versus its own prior.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Question-answering datasets with deliberately perturbed / conflicting retrieved context.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Retrieval quality is a first-order determinant of RAG faithfulness — degraded retrieval measurably degrades downstream answer correctness, not just relevance ranking.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⚠ arXiv preprint at time of citation, not yet published in a peer-reviewed venue — flagged explicitly in the Literature-Guideline Compliance Audit below as a disclosed deviation from the “scholarly articles only” requirement, not a hidden one.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2. Rubric Self-Audit</w:t>
      </w:r>
    </w:p>
    <w:p>
      <w:pPr>
        <w:spacing w:after="120"/>
      </w:pPr>
      <w:r>
        <w:rPr>
          <w:i/>
          <w:iCs/>
          <w:color w:val="5A6472"/>
          <w:sz w:val="20"/>
          <w:szCs w:val="20"/>
        </w:rPr>
        <w:t xml:space="preserve">Scored critically against the Phase I Review I rubric's Excellent (9–10) band wording, not assigned automatic full marks. Each score below states the specific gap that kept it out of a perfect 10, and what would close it — several of these gaps were identified and fixed in the deck before this document was finalized (see “Fix applied” rows); the remainder are disclosed honestly as open risk, carried into the Pre-Review Checklist in Section 5.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50"/>
        <w:gridCol w:w="650"/>
        <w:gridCol w:w="3050"/>
        <w:gridCol w:w="2600"/>
      </w:tblGrid>
      <w:tr>
        <w:tc>
          <w:tcPr>
            <w:tcW w:type="dxa" w:w="130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Rubric page</w:t>
            </w:r>
          </w:p>
        </w:tc>
        <w:tc>
          <w:tcPr>
            <w:tcW w:type="dxa" w:w="175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65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Self-score /10</w:t>
            </w:r>
          </w:p>
        </w:tc>
        <w:tc>
          <w:tcPr>
            <w:tcW w:type="dxa" w:w="305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  <w:tc>
          <w:tcPr>
            <w:tcW w:type="dxa" w:w="260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 applied / disposition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Research page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Problem Identification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24C"/>
                <w:sz w:val="20"/>
                <w:szCs w:val="20"/>
              </w:rPr>
              <w:t xml:space="preserve">9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Clear mechanism (cross-generation cosine-similarity incomparability), documented industry evidence (OpenAI/Cohere update history), and a concrete, falsifiable plan for how the problem will be quantified in Phase II. Not a 10: as a Review I pitch, severity is argued from mechanism and industry precedent, not yet from our own measured data — that measurement is explicit, named future work, not a claim we make today.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applied — appropriately scoped as a first-pitch limitation, disclosed in the checklist (item V2).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Research page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Objectives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24C"/>
                <w:sz w:val="20"/>
                <w:szCs w:val="20"/>
              </w:rPr>
              <w:t xml:space="preserve">9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Four objectives, each with a specific, pre-committed, measurable target set before any code is written — exactly the rubric's 'clear and specific, easily measurable' language. Not a 10: the targets themselves (e.g. F1 ≥ 0.50) are reasonable, literature-grounded goals, not yet validated by our own pilot data — they are commitments, not proven-achievable numbers.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applied — disclosed as open risk; fabricating pilot numbers to justify the targets would itself be a rubric risk.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Research page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Engineering Applications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7A22"/>
                <w:sz w:val="20"/>
                <w:szCs w:val="20"/>
              </w:rPr>
              <w:t xml:space="preserve">8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 clear module decomposition (M1–M4) and a proposed architecture diagram with defined data flow between stages. Not higher: as a proposal, there is no working prototype to point to yet — the architecture is a design, not a demonstrated system, which is an honest ceiling on this criterion at Review I.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applied — matches the review's actual stage; claiming a working system before Phase II build-out would misrepresent progress.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Research page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Literature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7A22"/>
                <w:sz w:val="20"/>
                <w:szCs w:val="20"/>
              </w:rPr>
              <w:t xml:space="preserve">8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15 verified sources, correct core/interdisciplinary/recency ratios, a comparison table identifying a gap per paper. Not a 9–10: one source (Wu et al., 2024) is an arXiv preprint, not a peer-reviewed scholarly article — the guideline says 'only scholarly articles are used to build the argument.' This is disclosed, not hidden.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Partially applied: Wu et al. is now clearly marked with a ⚠ flag in Section 1 and listed as a should-improve item (see checklist item S1) rather than silently included.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Research / Design pages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7A22"/>
                <w:sz w:val="20"/>
                <w:szCs w:val="20"/>
              </w:rPr>
              <w:t xml:space="preserve">8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Four independently-testable modules with explicit input/output contracts, and a justified choice of MCKP over alternatives (e.g. RL) explained in the Slide 10 speaker notes. Not a 9–10: methodology is described at the design level only — no implementation exists yet to confirm the module boundaries hold up in practice.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applied — disclosed as open risk (checklist item V3), to be revisited once Module 1 is actually built.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Innovation page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Concept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24C"/>
                <w:sz w:val="20"/>
                <w:szCs w:val="20"/>
              </w:rPr>
              <w:t xml:space="preserve">9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 clear, single-sentence concept (incident-response-style prioritization) mapped to a concrete 3-action framework. Not a 10: the concept slide doesn't explicitly contrast against the 'just re-embed everything' naive alternative on the same slide (it's covered elsewhere, in the research-gap slide).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applied — minor, covered adequately by adjacent slides; not worth further slide-count expansion.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Innovation page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Novelty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7A22"/>
                <w:sz w:val="20"/>
                <w:szCs w:val="20"/>
              </w:rPr>
              <w:t xml:space="preserve">8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 defensible, specific novelty claim (first MCKP application to embedding-contamination remediation, in our reviewed literature) grounded in a real research-gap chain. Not a 9–10: 'first, to our literature' is inherently bounded by a 15-paper search, and the claim is entirely un-validated by any implementation yet — it's a design novelty claim, not a proven one.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Fix applied: every novelty claim in the deck is phrased as 'to our literature' / 'in prior work we reviewed,' never as an unqualified absolute claim, precisely to keep this defensible under questioning.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Innovation page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Creativity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7A22"/>
                <w:sz w:val="20"/>
                <w:szCs w:val="20"/>
              </w:rPr>
              <w:t xml:space="preserve">8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 genuinely cross-domain borrowing (Zipf traffic theory from networking, applied to embedding-remediation prioritization) and a first-class Defer action are both non-obvious design choices. Not a 9–10: creativity is inherently the most subjectively-judged criterion, and as an as-yet-unbuilt design, judges cannot see it in action to be persuaded by it directly.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applied — inherent to the criterion and to being a first pitch.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Innovation page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Real-World Problems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24C"/>
                <w:sz w:val="20"/>
                <w:szCs w:val="20"/>
              </w:rPr>
              <w:t xml:space="preserve">9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Grounded in a 2024 VLDB Journal systems survey (20+ commercial vector-DB systems) and named real products (Pinecone, Weaviate, Milvus). Not a 10: no direct testimonial or case study from an actual affected production team is cited — relevance is argued from systems literature, not a first-party incident report.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applied — disclosed as open risk (checklist item V4); a real incident citation would need further research beyond this review's scope.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Innovation page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Technical Feasibility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7A22"/>
                <w:sz w:val="20"/>
                <w:szCs w:val="20"/>
              </w:rPr>
              <w:t xml:space="preserve">8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The feasibility argument rests on standard, well-documented components and provable algorithmic complexity bounds, plus a de-risked, dependency-ordered build plan — not on an already-working system. Not a 9–10: feasibility is argued, not yet demonstrated, which is the honest ceiling for any Review-I proposal on this criterion before Phase II delivers a working system.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applied — this is the correct, honest framing for a first pitch, disclosed as open risk (checklist item V5), not a gap to hide.</w:t>
            </w:r>
          </w:p>
        </w:tc>
      </w:tr>
    </w:tbl>
    <w:p>
      <w:pPr>
        <w:spacing w:after="120"/>
      </w:pPr>
      <w:r>
        <w:rPr>
          <w:i/>
          <w:iCs/>
          <w:color w:val="5A6472"/>
          <w:sz w:val="20"/>
          <w:szCs w:val="20"/>
        </w:rPr>
        <w:t xml:space="preserve">Average score: 8.4/10 across the 10 distinct criteria — a credible score for a first-pitch proposal review, with every point loss traced to a specific, named, defensible gap rather than left unexplained. Most of these gaps are the honest ceiling of presenting a design before any implementation exists (Engineering Applications, Methodology, Technical Feasibility), not weaknesses we could have fixed by writing more slides — closing them is exactly what the year of Phase II work is for. The “Design” rubric page duplicates the Research page's five criteria verbatim in the source rubric document; the scores above apply identically there.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3. Compliance Audits</w:t>
      </w:r>
    </w:p>
    <w:p>
      <w:pPr>
        <w:pStyle w:val="Heading2"/>
        <w:spacing w:after="150" w:before="300"/>
      </w:pPr>
      <w:r>
        <w:t xml:space="preserve">3.1 Literature Survey Guideline Compliance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3200"/>
        <w:gridCol w:w="1750"/>
      </w:tblGrid>
      <w:tr>
        <w:tc>
          <w:tcPr>
            <w:tcW w:type="dxa" w:w="210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0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Guideline target</w:t>
            </w:r>
          </w:p>
        </w:tc>
        <w:tc>
          <w:tcPr>
            <w:tcW w:type="dxa" w:w="320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75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Total paper count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10–15 papers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15 papers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824C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Core-domain ratio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≥ 60–70%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12/15 = 80% (see domain tags in Section 1)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824C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Interdisciplinary papers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2–3 papers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3 papers (Op. Research; networking/systems; MLOps)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824C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Recency (2020–2024)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≥ 60% of papers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9/15 = 60%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824C"/>
                <w:sz w:val="16"/>
                <w:szCs w:val="16"/>
              </w:rPr>
              <w:t xml:space="preserve">PASS (meets minimum exactly)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Landmark / foundational older works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Include 2–3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6 papers pre-2020 (1979, 1999, 2000, 2008, 2018, 2020) — exceeds the minimum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824C"/>
                <w:sz w:val="16"/>
                <w:szCs w:val="16"/>
              </w:rPr>
              <w:t xml:space="preserve">PASS (exceeds; framed as deliberate deep grounding, not padding)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Source quality — peer-reviewed venues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Avoid blogs, YouTube, Wikipedia; prefer IEEE/Springer/Elsevier/ACM/Wiley/T&amp;F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14/15 from IEEE, ACM, Springer, ICML/ICLR (PMLR/OpenReview), ACL Anthology — all peer-reviewed venues, though ICML/ACL/ICLR are not literally on the guideline's named publisher list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7A22"/>
                <w:sz w:val="16"/>
                <w:szCs w:val="16"/>
              </w:rPr>
              <w:t xml:space="preserve">PARTIAL PASS — see note below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Source quality — exception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Wu, Wu, &amp; Zou (2024) is an arXiv preprint, not yet peer-reviewed at time of citation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3261E"/>
                <w:sz w:val="16"/>
                <w:szCs w:val="16"/>
              </w:rPr>
              <w:t xml:space="preserve">FLAGGED — disclosed deviation, not hidden (checklist item S1)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Per-paper elements present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Title/Author/Year/Publication, Problem, Methodology, Dataset/Tools, Results, Strengths &amp; Limitations, Relation to topic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All 7 elements present for all 15 papers (Section 1)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824C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Comparison table format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Sl. No. | Author(s),Year | Title | Methodology | Tools/Dataset | Key Findings | Gap Identified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Matches exactly (Section 1.1); abbreviated 9-row version on the presentation's Literature slide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824C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APA citation format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Per guideline's format examples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All 15 references formatted in APA (journal article / conference paper conventions)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824C"/>
                <w:sz w:val="16"/>
                <w:szCs w:val="16"/>
              </w:rPr>
              <w:t xml:space="preserve">PASS</w:t>
            </w:r>
          </w:p>
        </w:tc>
      </w:tr>
    </w:tbl>
    <w:p>
      <w:pPr>
        <w:pStyle w:val="Heading2"/>
        <w:spacing w:after="150" w:before="300"/>
      </w:pPr>
      <w:r>
        <w:t xml:space="preserve">3.2 Official Template Compliance</w:t>
      </w:r>
    </w:p>
    <w:p>
      <w:pPr>
        <w:spacing w:after="120"/>
      </w:pPr>
      <w:r>
        <w:rPr>
          <w:sz w:val="20"/>
          <w:szCs w:val="20"/>
        </w:rPr>
        <w:t xml:space="preserve">The official template (Template_Review-I 4.pptx) defines 7 required sections. Every one of those 7 sections is preserved, in the template's own order, with its labeling intact. 8 additional slides were inserted between/around them so every rubric criterion also gets dedicated, explicitly-labeled content — no template section was cut or merged away to make room.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4950"/>
      </w:tblGrid>
      <w:tr>
        <w:tc>
          <w:tcPr>
            <w:tcW w:type="dxa" w:w="290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Template section</w:t>
            </w:r>
          </w:p>
        </w:tc>
        <w:tc>
          <w:tcPr>
            <w:tcW w:type="dxa" w:w="150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Deck slide(s)</w:t>
            </w:r>
          </w:p>
        </w:tc>
        <w:tc>
          <w:tcPr>
            <w:tcW w:type="dxa" w:w="4950"/>
            <w:shd w:fill="1B2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Title / Cover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Slide 1</w:t>
            </w:r>
          </w:p>
        </w:tc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Present, template layout preserved (institution, project title, team/guide/date block)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Problem Statement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Slide 2</w:t>
            </w:r>
          </w:p>
        </w:tc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Present — template section, grounded in mechanism and industry evidence, with a named plan for how it will be quantified in Phase II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Objectives &amp; Scope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Slide 3</w:t>
            </w:r>
          </w:p>
        </w:tc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Present — template section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Domain / Cohort Knowledge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Slide 4</w:t>
            </w:r>
          </w:p>
        </w:tc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Present — template section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Literature Survey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Slides 5–6</w:t>
            </w:r>
          </w:p>
        </w:tc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Present — template section, split across 2 slides (landscape + comparison table) because the guideline's per-paper depth does not fit one slide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(inserted) Research Gap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Slide 7</w:t>
            </w:r>
          </w:p>
        </w:tc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Not a template section by itself — inserted so the Literature → Gap logical chain the rubric's Literature criterion requires (“clearly identifying a gap”) is explicit, not implied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Proposed Concept / Methodology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Slides 8–10</w:t>
            </w:r>
          </w:p>
        </w:tc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Present — template section, split across 3 slides (Concept, Architecture, Modules) to cover Engineering Applications and Methodology as distinct rubric criteria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(inserted) Novelty &amp; Creativity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Slide 11</w:t>
            </w:r>
          </w:p>
        </w:tc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Not a template section by itself — inserted because the Innovation-page criteria have no dedicated template slide otherwise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(inserted) Real-World Relevance &amp; Feasibility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Slide 12</w:t>
            </w:r>
          </w:p>
        </w:tc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Not a template section by itself — inserted for the same reason as Slide 11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Project Plan / Timeline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Slide 13</w:t>
            </w:r>
          </w:p>
        </w:tc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Present — template section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Expected Outcomes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Slide 14</w:t>
            </w:r>
          </w:p>
        </w:tc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Present — template section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References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Slide 15</w:t>
            </w:r>
          </w:p>
        </w:tc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Present — template section</w:t>
            </w:r>
          </w:p>
        </w:tc>
      </w:tr>
    </w:tbl>
    <w:p>
      <w:r>
        <w:br w:type="page"/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4. Viva Preparation — Question Bank</w:t>
      </w:r>
    </w:p>
    <w:p>
      <w:pPr>
        <w:spacing w:after="120"/>
      </w:pPr>
      <w:r>
        <w:rPr>
          <w:i/>
          <w:iCs/>
          <w:color w:val="5A6472"/>
          <w:sz w:val="20"/>
          <w:szCs w:val="20"/>
        </w:rPr>
        <w:t xml:space="preserve">Grouped by theme. Answers are written to be spoken concisely (15–45 seconds each) — practice them out loud, don't read them verbatim in the review.</w:t>
      </w:r>
    </w:p>
    <w:p>
      <w:pPr>
        <w:pStyle w:val="Heading2"/>
        <w:spacing w:after="150" w:before="300"/>
      </w:pPr>
      <w:r>
        <w:t xml:space="preserve">Problem &amp; Motivation</w:t>
      </w:r>
    </w:p>
    <w:p>
      <w:pPr>
        <w:spacing w:after="40" w:before="160"/>
      </w:pPr>
      <w:r>
        <w:rPr>
          <w:b/>
          <w:bCs/>
          <w:color w:val="0E7C7B"/>
          <w:sz w:val="20"/>
          <w:szCs w:val="20"/>
        </w:rPr>
        <w:t xml:space="preserve">Q: </w:t>
      </w:r>
      <w:r>
        <w:rPr>
          <w:b/>
          <w:bCs/>
          <w:sz w:val="20"/>
          <w:szCs w:val="20"/>
        </w:rPr>
        <w:t xml:space="preserve">Why does mixed-generation contamination happen in practice, and why doesn't the system just error out?</w:t>
      </w:r>
    </w:p>
    <w:p>
      <w:pPr>
        <w:spacing w:after="80"/>
      </w:pPr>
      <w:r>
        <w:rPr>
          <w:b/>
          <w:bCs/>
          <w:color w:val="1B2A56"/>
          <w:sz w:val="19"/>
          <w:szCs w:val="19"/>
        </w:rPr>
        <w:t xml:space="preserve">A: </w:t>
      </w:r>
      <w:r>
        <w:rPr>
          <w:sz w:val="19"/>
          <w:szCs w:val="19"/>
        </w:rPr>
        <w:t xml:space="preserve">Because cosine similarity between two different embedding-model generations is mathematically well-defined — it always returns a number between -1 and 1 — it's just not meaningful. The index has no way to know the geometry changed, so it keeps returning results with quietly worse relevance, never an exception.</w:t>
      </w:r>
    </w:p>
    <w:p>
      <w:pPr>
        <w:spacing w:after="40" w:before="160"/>
      </w:pPr>
      <w:r>
        <w:rPr>
          <w:b/>
          <w:bCs/>
          <w:color w:val="0E7C7B"/>
          <w:sz w:val="20"/>
          <w:szCs w:val="20"/>
        </w:rPr>
        <w:t xml:space="preserve">Q: </w:t>
      </w:r>
      <w:r>
        <w:rPr>
          <w:b/>
          <w:bCs/>
          <w:sz w:val="20"/>
          <w:szCs w:val="20"/>
        </w:rPr>
        <w:t xml:space="preserve">You haven't measured this yet — how do you know the quality drop is real and not just a theoretical concern?</w:t>
      </w:r>
    </w:p>
    <w:p>
      <w:pPr>
        <w:spacing w:after="80"/>
      </w:pPr>
      <w:r>
        <w:rPr>
          <w:b/>
          <w:bCs/>
          <w:color w:val="1B2A56"/>
          <w:sz w:val="19"/>
          <w:szCs w:val="19"/>
        </w:rPr>
        <w:t xml:space="preserve">A: </w:t>
      </w:r>
      <w:r>
        <w:rPr>
          <w:sz w:val="19"/>
          <w:szCs w:val="19"/>
        </w:rPr>
        <w:t xml:space="preserve">It's grounded in documented industry practice, not just theory: OpenAI and Cohere have both shipped embedding updates that change internal geometry, and the anisotropy/embedding-drift literature we reviewed (Fuster Baggetto &amp; Fresno, 2022) treats this as an active, measurable phenomenon. Quantifying the exact magnitude on our own benchmark is precisely the first deliverable of Phase II — we're deliberately not claiming a number today because we haven't earned it yet.</w:t>
      </w:r>
    </w:p>
    <w:p>
      <w:pPr>
        <w:spacing w:after="40" w:before="160"/>
      </w:pPr>
      <w:r>
        <w:rPr>
          <w:b/>
          <w:bCs/>
          <w:color w:val="0E7C7B"/>
          <w:sz w:val="20"/>
          <w:szCs w:val="20"/>
        </w:rPr>
        <w:t xml:space="preserve">Q: </w:t>
      </w:r>
      <w:r>
        <w:rPr>
          <w:b/>
          <w:bCs/>
          <w:sz w:val="20"/>
          <w:szCs w:val="20"/>
        </w:rPr>
        <w:t xml:space="preserve">Isn't this just a rare edge case?</w:t>
      </w:r>
    </w:p>
    <w:p>
      <w:pPr>
        <w:spacing w:after="80"/>
      </w:pPr>
      <w:r>
        <w:rPr>
          <w:b/>
          <w:bCs/>
          <w:color w:val="1B2A56"/>
          <w:sz w:val="19"/>
          <w:szCs w:val="19"/>
        </w:rPr>
        <w:t xml:space="preserve">A: </w:t>
      </w:r>
      <w:r>
        <w:rPr>
          <w:sz w:val="19"/>
          <w:szCs w:val="19"/>
        </w:rPr>
        <w:t xml:space="preserve">No — Pan et al.'s 2024 VLDB Journal survey counts 20+ commercial vector-database systems now deployed, and every major embedding provider (OpenAI, Cohere, and the open sentence-transformers ecosystem) ships model updates multiple times a year. Any team that can't afford to re-embed its entire corpus on every update hits this.</w:t>
      </w:r>
    </w:p>
    <w:p>
      <w:pPr>
        <w:pStyle w:val="Heading2"/>
        <w:spacing w:after="150" w:before="300"/>
      </w:pPr>
      <w:r>
        <w:t xml:space="preserve">Methodology &amp; Design Choices</w:t>
      </w:r>
    </w:p>
    <w:p>
      <w:pPr>
        <w:spacing w:after="40" w:before="160"/>
      </w:pPr>
      <w:r>
        <w:rPr>
          <w:b/>
          <w:bCs/>
          <w:color w:val="0E7C7B"/>
          <w:sz w:val="20"/>
          <w:szCs w:val="20"/>
        </w:rPr>
        <w:t xml:space="preserve">Q: </w:t>
      </w:r>
      <w:r>
        <w:rPr>
          <w:b/>
          <w:bCs/>
          <w:sz w:val="20"/>
          <w:szCs w:val="20"/>
        </w:rPr>
        <w:t xml:space="preserve">Why formulate this as a knapsack problem instead of a simpler heuristic (e.g. just sort by severity)?</w:t>
      </w:r>
    </w:p>
    <w:p>
      <w:pPr>
        <w:spacing w:after="80"/>
      </w:pPr>
      <w:r>
        <w:rPr>
          <w:b/>
          <w:bCs/>
          <w:color w:val="1B2A56"/>
          <w:sz w:val="19"/>
          <w:szCs w:val="19"/>
        </w:rPr>
        <w:t xml:space="preserve">A: </w:t>
      </w:r>
      <w:r>
        <w:rPr>
          <w:sz w:val="19"/>
          <w:szCs w:val="19"/>
        </w:rPr>
        <w:t xml:space="preserve">A pure severity sort ignores that different documents have very different costs (full re-embed vs. patch vs. defer) and very different query traffic. Knapsack is the correct formulation because it's specifically designed for 'maximize value under one shared budget, with mutually-exclusive choices per item' — exactly our structure — and it comes with provable optimality guarantees (exact ILP) and well-understood approximation bounds (greedy) that a heuristic sort simply doesn't have. Empirically validating those bounds on our own benchmark is one of our first Phase II milestones.</w:t>
      </w:r>
    </w:p>
    <w:p>
      <w:pPr>
        <w:spacing w:after="40" w:before="160"/>
      </w:pPr>
      <w:r>
        <w:rPr>
          <w:b/>
          <w:bCs/>
          <w:color w:val="0E7C7B"/>
          <w:sz w:val="20"/>
          <w:szCs w:val="20"/>
        </w:rPr>
        <w:t xml:space="preserve">Q: </w:t>
      </w:r>
      <w:r>
        <w:rPr>
          <w:b/>
          <w:bCs/>
          <w:sz w:val="20"/>
          <w:szCs w:val="20"/>
        </w:rPr>
        <w:t xml:space="preserve">Why not use reinforcement learning or a learned policy instead?</w:t>
      </w:r>
    </w:p>
    <w:p>
      <w:pPr>
        <w:spacing w:after="80"/>
      </w:pPr>
      <w:r>
        <w:rPr>
          <w:b/>
          <w:bCs/>
          <w:color w:val="1B2A56"/>
          <w:sz w:val="19"/>
          <w:szCs w:val="19"/>
        </w:rPr>
        <w:t xml:space="preserve">A: </w:t>
      </w:r>
      <w:r>
        <w:rPr>
          <w:sz w:val="19"/>
          <w:szCs w:val="19"/>
        </w:rPr>
        <w:t xml:space="preserve">Explainability and safety. Every decision our scheduler makes can be traced to a specific benefit/cost calculation, which matters enormously for a system allowed to modify a production database. An RL policy is a black box we'd have far less confidence deploying without extensive additional validation that's out of scope for a one-year capstone.</w:t>
      </w:r>
    </w:p>
    <w:p>
      <w:pPr>
        <w:spacing w:after="40" w:before="160"/>
      </w:pPr>
      <w:r>
        <w:rPr>
          <w:b/>
          <w:bCs/>
          <w:color w:val="0E7C7B"/>
          <w:sz w:val="20"/>
          <w:szCs w:val="20"/>
        </w:rPr>
        <w:t xml:space="preserve">Q: </w:t>
      </w:r>
      <w:r>
        <w:rPr>
          <w:b/>
          <w:bCs/>
          <w:sz w:val="20"/>
          <w:szCs w:val="20"/>
        </w:rPr>
        <w:t xml:space="preserve">What exactly does 'Defer' mean, and why is it a real action rather than just 'do nothing'?</w:t>
      </w:r>
    </w:p>
    <w:p>
      <w:pPr>
        <w:spacing w:after="80"/>
      </w:pPr>
      <w:r>
        <w:rPr>
          <w:b/>
          <w:bCs/>
          <w:color w:val="1B2A56"/>
          <w:sz w:val="19"/>
          <w:szCs w:val="19"/>
        </w:rPr>
        <w:t xml:space="preserve">A: </w:t>
      </w:r>
      <w:r>
        <w:rPr>
          <w:sz w:val="19"/>
          <w:szCs w:val="19"/>
        </w:rPr>
        <w:t xml:space="preserve">Defer is a formal, budget-zero action the optimizer can choose when a document's severity × traffic doesn't justify its fix cost relative to better uses of the budget. It's mathematically identical to any other action in the knapsack — the optimizer proves it's the right choice, not just defaults to it.</w:t>
      </w:r>
    </w:p>
    <w:p>
      <w:pPr>
        <w:spacing w:after="40" w:before="160"/>
      </w:pPr>
      <w:r>
        <w:rPr>
          <w:b/>
          <w:bCs/>
          <w:color w:val="0E7C7B"/>
          <w:sz w:val="20"/>
          <w:szCs w:val="20"/>
        </w:rPr>
        <w:t xml:space="preserve">Q: </w:t>
      </w:r>
      <w:r>
        <w:rPr>
          <w:b/>
          <w:bCs/>
          <w:sz w:val="20"/>
          <w:szCs w:val="20"/>
        </w:rPr>
        <w:t xml:space="preserve">How does the safety gate actually decide pass/fail?</w:t>
      </w:r>
    </w:p>
    <w:p>
      <w:pPr>
        <w:spacing w:after="80"/>
      </w:pPr>
      <w:r>
        <w:rPr>
          <w:b/>
          <w:bCs/>
          <w:color w:val="1B2A56"/>
          <w:sz w:val="19"/>
          <w:szCs w:val="19"/>
        </w:rPr>
        <w:t xml:space="preserve">A: </w:t>
      </w:r>
      <w:r>
        <w:rPr>
          <w:sz w:val="19"/>
          <w:szCs w:val="19"/>
        </w:rPr>
        <w:t xml:space="preserve">It re-evaluates a curated set of 'golden queries' — high-value, known-important queries — against the shadow-built candidate index. If retrieval quality (nDCG) on that golden set would regress beyond a tolerance threshold, the gate aborts the cutover and either retries with more budget or defers the affected documents. This is a design decision today; implementing and testing it is Phase II work.</w:t>
      </w:r>
    </w:p>
    <w:p>
      <w:pPr>
        <w:pStyle w:val="Heading2"/>
        <w:spacing w:after="150" w:before="300"/>
      </w:pPr>
      <w:r>
        <w:t xml:space="preserve">Feasibility, Plan &amp; Risk</w:t>
      </w:r>
    </w:p>
    <w:p>
      <w:pPr>
        <w:spacing w:after="40" w:before="160"/>
      </w:pPr>
      <w:r>
        <w:rPr>
          <w:b/>
          <w:bCs/>
          <w:color w:val="0E7C7B"/>
          <w:sz w:val="20"/>
          <w:szCs w:val="20"/>
        </w:rPr>
        <w:t xml:space="preserve">Q: </w:t>
      </w:r>
      <w:r>
        <w:rPr>
          <w:b/>
          <w:bCs/>
          <w:sz w:val="20"/>
          <w:szCs w:val="20"/>
        </w:rPr>
        <w:t xml:space="preserve">Why should we believe this is achievable in one year?</w:t>
      </w:r>
    </w:p>
    <w:p>
      <w:pPr>
        <w:spacing w:after="80"/>
      </w:pPr>
      <w:r>
        <w:rPr>
          <w:b/>
          <w:bCs/>
          <w:color w:val="1B2A56"/>
          <w:sz w:val="19"/>
          <w:szCs w:val="19"/>
        </w:rPr>
        <w:t xml:space="preserve">A: </w:t>
      </w:r>
      <w:r>
        <w:rPr>
          <w:sz w:val="19"/>
          <w:szCs w:val="19"/>
        </w:rPr>
        <w:t xml:space="preserve">We scoped it deliberately: a 5,000-document benchmark keeps the exact-ILP baseline tractable, every component is a standard off-the-shelf tool (sentence-transformers, scikit-learn, an ILP solver), and the four-module decomposition gives a de-risked build order where each module only starts once its predecessor is validated. Our month-by-month plan reserves the last two months purely for integration, evaluation, and write-up, assuming things won't go perfectly on the first attempt.</w:t>
      </w:r>
    </w:p>
    <w:p>
      <w:pPr>
        <w:spacing w:after="40" w:before="160"/>
      </w:pPr>
      <w:r>
        <w:rPr>
          <w:b/>
          <w:bCs/>
          <w:color w:val="0E7C7B"/>
          <w:sz w:val="20"/>
          <w:szCs w:val="20"/>
        </w:rPr>
        <w:t xml:space="preserve">Q: </w:t>
      </w:r>
      <w:r>
        <w:rPr>
          <w:b/>
          <w:bCs/>
          <w:sz w:val="20"/>
          <w:szCs w:val="20"/>
        </w:rPr>
        <w:t xml:space="preserve">What's your biggest risk, and what happens if a module doesn't hit its target?</w:t>
      </w:r>
    </w:p>
    <w:p>
      <w:pPr>
        <w:spacing w:after="80"/>
      </w:pPr>
      <w:r>
        <w:rPr>
          <w:b/>
          <w:bCs/>
          <w:color w:val="1B2A56"/>
          <w:sz w:val="19"/>
          <w:szCs w:val="19"/>
        </w:rPr>
        <w:t xml:space="preserve">A: </w:t>
      </w:r>
      <w:r>
        <w:rPr>
          <w:sz w:val="19"/>
          <w:szCs w:val="19"/>
        </w:rPr>
        <w:t xml:space="preserve">The biggest risk is the detector: if KNN-OOD doesn't reach our F1 ≥ 0.50 target on our own benchmark, every downstream module is scheduling against noisy signal. Our mitigation is that KNN-OOD is already a validated technique in the literature (Sun et al., 2022) on other domains — we're applying a known-good method, not inventing detection from scratch. If it still underperforms, LOF and Isolation Forest are documented fallback detectors from the same literature review.</w:t>
      </w:r>
    </w:p>
    <w:p>
      <w:pPr>
        <w:spacing w:after="40" w:before="160"/>
      </w:pPr>
      <w:r>
        <w:rPr>
          <w:b/>
          <w:bCs/>
          <w:color w:val="0E7C7B"/>
          <w:sz w:val="20"/>
          <w:szCs w:val="20"/>
        </w:rPr>
        <w:t xml:space="preserve">Q: </w:t>
      </w:r>
      <w:r>
        <w:rPr>
          <w:b/>
          <w:bCs/>
          <w:sz w:val="20"/>
          <w:szCs w:val="20"/>
        </w:rPr>
        <w:t xml:space="preserve">Why BEIR SciFact specifically, and only 5,000 documents?</w:t>
      </w:r>
    </w:p>
    <w:p>
      <w:pPr>
        <w:spacing w:after="80"/>
      </w:pPr>
      <w:r>
        <w:rPr>
          <w:b/>
          <w:bCs/>
          <w:color w:val="1B2A56"/>
          <w:sz w:val="19"/>
          <w:szCs w:val="19"/>
        </w:rPr>
        <w:t xml:space="preserve">A: </w:t>
      </w:r>
      <w:r>
        <w:rPr>
          <w:sz w:val="19"/>
          <w:szCs w:val="19"/>
        </w:rPr>
        <w:t xml:space="preserve">BEIR SciFact is a real, standard, peer-reviewed IR benchmark with real relevance judgments, letting us compute real nDCG/recall rather than a proxy metric once the pipeline is built. 5,000 documents keeps the exact-ILP baseline solvable in reasonable time for a direct optimality comparison — production-scale validation (millions of documents) is explicitly named as future work beyond this capstone year, not something we're claiming to have already proven.</w:t>
      </w:r>
    </w:p>
    <w:p>
      <w:pPr>
        <w:pStyle w:val="Heading2"/>
        <w:spacing w:after="150" w:before="300"/>
      </w:pPr>
      <w:r>
        <w:t xml:space="preserve">Novelty &amp; Future Scope</w:t>
      </w:r>
    </w:p>
    <w:p>
      <w:pPr>
        <w:spacing w:after="40" w:before="160"/>
      </w:pPr>
      <w:r>
        <w:rPr>
          <w:b/>
          <w:bCs/>
          <w:color w:val="0E7C7B"/>
          <w:sz w:val="20"/>
          <w:szCs w:val="20"/>
        </w:rPr>
        <w:t xml:space="preserve">Q: </w:t>
      </w:r>
      <w:r>
        <w:rPr>
          <w:b/>
          <w:bCs/>
          <w:sz w:val="20"/>
          <w:szCs w:val="20"/>
        </w:rPr>
        <w:t xml:space="preserve">What stops someone from saying 'this is just Drift-Adapter with extra steps'?</w:t>
      </w:r>
    </w:p>
    <w:p>
      <w:pPr>
        <w:spacing w:after="80"/>
      </w:pPr>
      <w:r>
        <w:rPr>
          <w:b/>
          <w:bCs/>
          <w:color w:val="1B2A56"/>
          <w:sz w:val="19"/>
          <w:szCs w:val="19"/>
        </w:rPr>
        <w:t xml:space="preserve">A: </w:t>
      </w:r>
      <w:r>
        <w:rPr>
          <w:sz w:val="19"/>
          <w:szCs w:val="19"/>
        </w:rPr>
        <w:t xml:space="preserve">Drift-Adapter (and every other patching paper we reviewed) applies its fix uniformly to the whole corpus — it has no notion of a budget or of choosing per-document. Our contribution is the decision layer above that: which documents get which action under a shared budget, which is a distinct Operations-Research problem (Sinha &amp; Zoltners, 1979) that none of our reviewed patching papers address.</w:t>
      </w:r>
    </w:p>
    <w:p>
      <w:pPr>
        <w:spacing w:after="40" w:before="160"/>
      </w:pPr>
      <w:r>
        <w:rPr>
          <w:b/>
          <w:bCs/>
          <w:color w:val="0E7C7B"/>
          <w:sz w:val="20"/>
          <w:szCs w:val="20"/>
        </w:rPr>
        <w:t xml:space="preserve">Q: </w:t>
      </w:r>
      <w:r>
        <w:rPr>
          <w:b/>
          <w:bCs/>
          <w:sz w:val="20"/>
          <w:szCs w:val="20"/>
        </w:rPr>
        <w:t xml:space="preserve">What's explicitly out of scope this year?</w:t>
      </w:r>
    </w:p>
    <w:p>
      <w:pPr>
        <w:spacing w:after="80"/>
      </w:pPr>
      <w:r>
        <w:rPr>
          <w:b/>
          <w:bCs/>
          <w:color w:val="1B2A56"/>
          <w:sz w:val="19"/>
          <w:szCs w:val="19"/>
        </w:rPr>
        <w:t xml:space="preserve">A: </w:t>
      </w:r>
      <w:r>
        <w:rPr>
          <w:sz w:val="19"/>
          <w:szCs w:val="19"/>
        </w:rPr>
        <w:t xml:space="preserve">Production-scale validation beyond 5,000 documents, integration against a real vector-DB API instead of our own benchmark harness, and a second corpus to corroborate our findings — all explicitly named as future work beyond this capstone year, not omissions we're hiding.</w:t>
      </w:r>
    </w:p>
    <w:p>
      <w:pPr>
        <w:spacing w:after="40" w:before="160"/>
      </w:pPr>
      <w:r>
        <w:rPr>
          <w:b/>
          <w:bCs/>
          <w:color w:val="0E7C7B"/>
          <w:sz w:val="20"/>
          <w:szCs w:val="20"/>
        </w:rPr>
        <w:t xml:space="preserve">Q: </w:t>
      </w:r>
      <w:r>
        <w:rPr>
          <w:b/>
          <w:bCs/>
          <w:sz w:val="20"/>
          <w:szCs w:val="20"/>
        </w:rPr>
        <w:t xml:space="preserve">Is the knapsack solver going to scale to millions of documents?</w:t>
      </w:r>
    </w:p>
    <w:p>
      <w:pPr>
        <w:spacing w:after="80"/>
      </w:pPr>
      <w:r>
        <w:rPr>
          <w:b/>
          <w:bCs/>
          <w:color w:val="1B2A56"/>
          <w:sz w:val="19"/>
          <w:szCs w:val="19"/>
        </w:rPr>
        <w:t xml:space="preserve">A: </w:t>
      </w:r>
      <w:r>
        <w:rPr>
          <w:sz w:val="19"/>
          <w:szCs w:val="19"/>
        </w:rPr>
        <w:t xml:space="preserve">The exact ILP solver won't — that's why the frontier-greedy approximation is part of the design from day one. Greedy heuristics for this problem structure have well-understood, provable approximation bounds in the Operations Research literature (Sinha &amp; Zoltners, 1979) independent of our own implementation. Empirically validating that bound at larger scale is scoped as future work beyond this capstone year.</w:t>
      </w:r>
    </w:p>
    <w:p>
      <w:r>
        <w:br w:type="page"/>
      </w:r>
    </w:p>
    <w:p>
      <w:pPr>
        <w:sectPr>
          <w:headerReference w:type="default" r:id="rId13"/>
          <w:footerReference w:type="default" r:id="rId14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5. Final Pre-Review Checklist</w:t>
      </w:r>
    </w:p>
    <w:p>
      <w:pPr>
        <w:spacing w:after="120"/>
      </w:pPr>
      <w:r>
        <w:rPr>
          <w:i/>
          <w:iCs/>
          <w:color w:val="5A6472"/>
          <w:sz w:val="20"/>
          <w:szCs w:val="20"/>
        </w:rPr>
        <w:t xml:space="preserve">This deck is deliberately framed as a first pitch: a full-year project's proposal, not a status report. No result numbers appear anywhere — every metric shown is a target we've committed to, not something already measured. If a panel member seems to expect preliminary data, that's normal for reviewers used to a single-review capstone structure; the prepared answer to 'why no results yet' is in Section 4.</w:t>
      </w:r>
    </w:p>
    <w:p>
      <w:pPr>
        <w:pStyle w:val="Heading2"/>
        <w:spacing w:after="150" w:before="300"/>
      </w:pPr>
      <w:r>
        <w:t xml:space="preserve">MUST COMPLETE before presenting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Fill in every [bracketed] placeholder: team member name(s)/register number(s)/department on the Title slide and this document's cover, guide name &amp; designation, and the review date.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the exact enrolled cohort/track name with your coordinator and replace the placeholder on the Domain/Cohort Knowledge slide (Slide 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the Project Plan's month-by-month timeline (Slide 13) actually aligns with your institution's real Phase I / Phase II calendar — the month numbers used here are a generic 12-month placeholder structure, not confirmed against your program's actual review schedule.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VectorSentry_Review1.pptx in actual Microsoft PowerPoint (not just this environment) and click through all 15 slides once, start to finish.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Rehearse the full presentation once against a timer against your allotted review slot; trim speaker-notes-derived talking points if over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Bring this companion document (printed or on a second device) so you can cite exact figures if a panel member asks for a number not on-screen.</w:t>
      </w:r>
    </w:p>
    <w:p>
      <w:pPr>
        <w:pStyle w:val="Heading2"/>
        <w:spacing w:after="150" w:before="300"/>
      </w:pPr>
      <w:r>
        <w:t xml:space="preserve">SHOULD IMPROVE (not blocking, but strengthens the submission)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S1 — Wu, Wu, &amp; Zou (2024) is cited as an arXiv preprint, not a peer-reviewed article; if time permits before the review, consider substituting a peer-reviewed RAG-faithfulness paper, or be ready to explain the exception if asked (answer is prepared in Section 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S2 — Practice a crisp, confident answer for 'why are there no results in this review' — some panels default to expecting preliminary data even at a first pitch; the prepared answer (Section 4) frames it as a deliberate, scoped choice for a one-year project, not a gap.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S3 — No visual QA render of the final deck was possible in this environment (see Verify item V1) — a first look in real PowerPoint doubles as this missing QA pass.</w:t>
      </w:r>
    </w:p>
    <w:p>
      <w:pPr>
        <w:pStyle w:val="Heading2"/>
        <w:spacing w:after="150" w:before="300"/>
      </w:pPr>
      <w:r>
        <w:t xml:space="preserve">VERIFY BEFORE PRESENTING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V1 — Visual rendering: this environment has no LibreOffice installed, so the deck could not be converted to images and visually inspected for overlap/overflow. Content QA (markitdown text extraction) and file-structural QA (schema/relationship/content-type validation against the official template) both passed cleanly, but a human visual pass in real PowerPoint is still required and has not yet happened.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V2 — Problem Identification is argued from mechanism and industry evidence, not from our own measured data — that's intentional given today's proposal framing, but be ready to explain why no preliminary numbers are shown if a panel member asks (answer prepared in Section 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V3 — No formal computational-complexity analysis is presented for the ILP solver beyond a qualitative argument; know the answer (exact solver doesn't scale, greedy does, with literature-backed bounds) cold.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V4 — Real-world relevance is argued from systems literature (Pan et al., 2024), not a first-party production incident report — acceptable, but don't overstate it as a documented real-world case study.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V5 — Technical feasibility is argued from component maturity and algorithmic complexity, not from a working prototype — because nothing has been built yet, per today's framing. State this plainly if asked rather than implying otherwise.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V6 — Reconfirm the total slide count (15) fits your review's actual time allocation; if your program specifies a stricter slide-count or time limit than assumed here, some of the 8 inserted (non-template) slides may need to be merged.</w:t>
      </w:r>
    </w:p>
    <w:sectPr>
      <w:headerReference w:type="default" r:id="rId15"/>
      <w:footerReference w:type="default" r:id="rId1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A6472"/>
        <w:sz w:val="16"/>
        <w:szCs w:val="16"/>
      </w:rPr>
      <w:t xml:space="preserve">VectorSentry — Review I Companion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A6472"/>
        <w:sz w:val="16"/>
        <w:szCs w:val="16"/>
      </w:rPr>
      <w:t xml:space="preserve">VectorSentry — Review I Companion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A6472"/>
        <w:sz w:val="16"/>
        <w:szCs w:val="16"/>
      </w:rPr>
      <w:t xml:space="preserve">VectorSentry — Review I Companion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A6472"/>
        <w:sz w:val="16"/>
        <w:szCs w:val="16"/>
      </w:rPr>
      <w:t xml:space="preserve">VectorSentry — Review I Companion Document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A6472"/>
        <w:sz w:val="16"/>
        <w:szCs w:val="16"/>
      </w:rPr>
      <w:t xml:space="preserve">VectorSentry — Review I Companion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2026-08-27T07:51:07.891Z</dcterms:created>
  <dcterms:modified xsi:type="dcterms:W3CDTF">2026-08-27T07:51:07.891Z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