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4180" w:rsidRPr="003E4180" w:rsidRDefault="003E4180" w:rsidP="003E4180">
      <w:pPr>
        <w:widowControl/>
        <w:shd w:val="clear" w:color="auto" w:fill="FFFFFF"/>
        <w:jc w:val="center"/>
        <w:outlineLvl w:val="0"/>
        <w:rPr>
          <w:rFonts w:ascii="微软雅黑" w:eastAsia="微软雅黑" w:hAnsi="微软雅黑" w:cs="宋体"/>
          <w:b/>
          <w:bCs/>
          <w:color w:val="000000"/>
          <w:kern w:val="36"/>
          <w:sz w:val="31"/>
          <w:szCs w:val="31"/>
        </w:rPr>
      </w:pPr>
      <w:r w:rsidRPr="003E4180">
        <w:rPr>
          <w:rFonts w:ascii="微软雅黑" w:eastAsia="微软雅黑" w:hAnsi="微软雅黑" w:cs="宋体" w:hint="eastAsia"/>
          <w:b/>
          <w:bCs/>
          <w:color w:val="000000"/>
          <w:kern w:val="36"/>
          <w:sz w:val="31"/>
          <w:szCs w:val="31"/>
        </w:rPr>
        <w:t>分享MYSQL中的各种高可用技术（源自姜承尧大牛）</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图片和资料来源于MYSQL大牛姜承尧老师（</w:t>
      </w:r>
      <w:hyperlink r:id="rId6" w:tgtFrame="_blank" w:tooltip="http://baike.baidu.com/view/5101249.htm?fr=aladdin" w:history="1">
        <w:r w:rsidRPr="003E4180">
          <w:rPr>
            <w:rFonts w:ascii="微软雅黑" w:eastAsia="微软雅黑" w:hAnsi="微软雅黑" w:cs="宋体" w:hint="eastAsia"/>
            <w:color w:val="000000"/>
            <w:kern w:val="0"/>
            <w:sz w:val="15"/>
          </w:rPr>
          <w:t>MYSQL技术内幕作者</w:t>
        </w:r>
      </w:hyperlink>
      <w:r w:rsidRPr="003E4180">
        <w:rPr>
          <w:rFonts w:ascii="微软雅黑" w:eastAsia="微软雅黑" w:hAnsi="微软雅黑" w:cs="宋体" w:hint="eastAsia"/>
          <w:color w:val="333333"/>
          <w:kern w:val="0"/>
          <w:sz w:val="15"/>
          <w:szCs w:val="15"/>
        </w:rPr>
        <w:t>）</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姜承尧： 网易杭州研究院 技术经理 主导INNOSQL的开发</w:t>
      </w:r>
    </w:p>
    <w:p w:rsidR="003E4180" w:rsidRPr="003E4180" w:rsidRDefault="003E4180" w:rsidP="003E4180">
      <w:pPr>
        <w:widowControl/>
        <w:shd w:val="clear" w:color="auto" w:fill="FFFFFF"/>
        <w:jc w:val="left"/>
        <w:outlineLvl w:val="0"/>
        <w:rPr>
          <w:rFonts w:ascii="微软雅黑" w:eastAsia="微软雅黑" w:hAnsi="微软雅黑" w:cs="宋体" w:hint="eastAsia"/>
          <w:b/>
          <w:bCs/>
          <w:color w:val="000000"/>
          <w:kern w:val="36"/>
          <w:sz w:val="31"/>
          <w:szCs w:val="31"/>
        </w:rPr>
      </w:pPr>
      <w:r w:rsidRPr="003E4180">
        <w:rPr>
          <w:rFonts w:ascii="微软雅黑" w:eastAsia="微软雅黑" w:hAnsi="微软雅黑" w:cs="宋体" w:hint="eastAsia"/>
          <w:b/>
          <w:bCs/>
          <w:color w:val="000000"/>
          <w:kern w:val="36"/>
          <w:sz w:val="31"/>
          <w:szCs w:val="31"/>
        </w:rPr>
        <w:t>mysql高可用各个技术的比较</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数据库的可靠指的是数据可靠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数据库可用指的是数据库服务可用</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b/>
          <w:bCs/>
          <w:color w:val="333333"/>
          <w:kern w:val="0"/>
          <w:sz w:val="15"/>
        </w:rPr>
        <w:t>可靠的是数据</w:t>
      </w:r>
      <w:r w:rsidRPr="003E4180">
        <w:rPr>
          <w:rFonts w:ascii="微软雅黑" w:eastAsia="微软雅黑" w:hAnsi="微软雅黑" w:cs="宋体" w:hint="eastAsia"/>
          <w:color w:val="333333"/>
          <w:kern w:val="0"/>
          <w:sz w:val="15"/>
          <w:szCs w:val="15"/>
        </w:rPr>
        <w:t>：例如工商银行，数据不能丢失</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b/>
          <w:bCs/>
          <w:color w:val="333333"/>
          <w:kern w:val="0"/>
          <w:sz w:val="15"/>
        </w:rPr>
        <w:t>可用的是服务</w:t>
      </w:r>
      <w:r w:rsidRPr="003E4180">
        <w:rPr>
          <w:rFonts w:ascii="微软雅黑" w:eastAsia="微软雅黑" w:hAnsi="微软雅黑" w:cs="宋体" w:hint="eastAsia"/>
          <w:color w:val="333333"/>
          <w:kern w:val="0"/>
          <w:sz w:val="15"/>
          <w:szCs w:val="15"/>
        </w:rPr>
        <w:t>：服务器不能宕机</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drawing>
          <wp:inline distT="0" distB="0" distL="0" distR="0">
            <wp:extent cx="6322926" cy="4501251"/>
            <wp:effectExtent l="19050" t="0" r="1674" b="0"/>
            <wp:docPr id="1" name="图片 1" descr="http://images.cnitblog.com/i/572343/201407/112209189103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i/572343/201407/112209189103320.jpg"/>
                    <pic:cNvPicPr>
                      <a:picLocks noChangeAspect="1" noChangeArrowheads="1"/>
                    </pic:cNvPicPr>
                  </pic:nvPicPr>
                  <pic:blipFill>
                    <a:blip r:embed="rId7"/>
                    <a:srcRect/>
                    <a:stretch>
                      <a:fillRect/>
                    </a:stretch>
                  </pic:blipFill>
                  <pic:spPr bwMode="auto">
                    <a:xfrm>
                      <a:off x="0" y="0"/>
                      <a:ext cx="6322926" cy="4501251"/>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灵活运用MYSQL的各种高可用技术来达到下面各种级别的高可用要求</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要达到99.9%：使用MYSQL复制技术</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要达到99.99%：使用MYSQL NDB 集群和虚拟化技术</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要达到99.999%：使用shared-nothing架构的GEO-REPLICATION和NDB集群技术</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b/>
          <w:bCs/>
          <w:color w:val="FF0000"/>
          <w:kern w:val="0"/>
          <w:sz w:val="15"/>
        </w:rPr>
        <w:lastRenderedPageBreak/>
        <w:t>Gluster Geo-replication是什麼？</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Gluster Geo-replication(简称geo-replication)是一种异地灾备技术，</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它主要应用于把集群中的一个存储，近乎即时地(near real-time)透过公网（wan）备份到远端的机房</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drawing>
          <wp:inline distT="0" distB="0" distL="0" distR="0">
            <wp:extent cx="6315133" cy="4560212"/>
            <wp:effectExtent l="19050" t="0" r="9467" b="0"/>
            <wp:docPr id="2" name="图片 2" descr="http://images.cnitblog.com/i/257159/201407/120951047853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cnitblog.com/i/257159/201407/120951047853105.jpg"/>
                    <pic:cNvPicPr>
                      <a:picLocks noChangeAspect="1" noChangeArrowheads="1"/>
                    </pic:cNvPicPr>
                  </pic:nvPicPr>
                  <pic:blipFill>
                    <a:blip r:embed="rId8"/>
                    <a:srcRect/>
                    <a:stretch>
                      <a:fillRect/>
                    </a:stretch>
                  </pic:blipFill>
                  <pic:spPr bwMode="auto">
                    <a:xfrm>
                      <a:off x="0" y="0"/>
                      <a:ext cx="6318948" cy="4562967"/>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各种高可用级别允许的宕机时间</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3636645" cy="2895600"/>
            <wp:effectExtent l="19050" t="0" r="1905" b="0"/>
            <wp:docPr id="3" name="图片 3" descr="http://images.cnitblog.com/i/257159/201407/120956571148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cnitblog.com/i/257159/201407/120956571148401.jpg"/>
                    <pic:cNvPicPr>
                      <a:picLocks noChangeAspect="1" noChangeArrowheads="1"/>
                    </pic:cNvPicPr>
                  </pic:nvPicPr>
                  <pic:blipFill>
                    <a:blip r:embed="rId9"/>
                    <a:srcRect/>
                    <a:stretch>
                      <a:fillRect/>
                    </a:stretch>
                  </pic:blipFill>
                  <pic:spPr bwMode="auto">
                    <a:xfrm>
                      <a:off x="0" y="0"/>
                      <a:ext cx="3636645" cy="2895600"/>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DRBD：网络磁盘的RAID1</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drawing>
          <wp:inline distT="0" distB="0" distL="0" distR="0">
            <wp:extent cx="6510318" cy="3639293"/>
            <wp:effectExtent l="19050" t="0" r="4782" b="0"/>
            <wp:docPr id="4" name="图片 4" descr="http://images.cnitblog.com/i/257159/201407/121001021927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cnitblog.com/i/257159/201407/121001021927962.jpg"/>
                    <pic:cNvPicPr>
                      <a:picLocks noChangeAspect="1" noChangeArrowheads="1"/>
                    </pic:cNvPicPr>
                  </pic:nvPicPr>
                  <pic:blipFill>
                    <a:blip r:embed="rId10"/>
                    <a:srcRect/>
                    <a:stretch>
                      <a:fillRect/>
                    </a:stretch>
                  </pic:blipFill>
                  <pic:spPr bwMode="auto">
                    <a:xfrm>
                      <a:off x="0" y="0"/>
                      <a:ext cx="6509912" cy="3639066"/>
                    </a:xfrm>
                    <a:prstGeom prst="rect">
                      <a:avLst/>
                    </a:prstGeom>
                    <a:noFill/>
                    <a:ln w="9525">
                      <a:noFill/>
                      <a:miter lim="800000"/>
                      <a:headEnd/>
                      <a:tailEnd/>
                    </a:ln>
                  </pic:spPr>
                </pic:pic>
              </a:graphicData>
            </a:graphic>
          </wp:inline>
        </w:drawing>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25"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方案一：MYSQL主从复制（单活）</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040755" cy="4274185"/>
            <wp:effectExtent l="19050" t="0" r="0" b="0"/>
            <wp:docPr id="6" name="图片 6" descr="http://images.cnitblog.com/i/572343/201407/112220021292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cnitblog.com/i/572343/201407/112220021292314.jpg"/>
                    <pic:cNvPicPr>
                      <a:picLocks noChangeAspect="1" noChangeArrowheads="1"/>
                    </pic:cNvPicPr>
                  </pic:nvPicPr>
                  <pic:blipFill>
                    <a:blip r:embed="rId11"/>
                    <a:srcRect/>
                    <a:stretch>
                      <a:fillRect/>
                    </a:stretch>
                  </pic:blipFill>
                  <pic:spPr bwMode="auto">
                    <a:xfrm>
                      <a:off x="0" y="0"/>
                      <a:ext cx="6040755" cy="4274185"/>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投票选举机制，较复杂</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MySQL本身没有提供replication failover的解决方案，自动切换需要依赖</w:t>
      </w:r>
      <w:hyperlink r:id="rId12" w:tgtFrame="_blank" w:tooltip="http://os.51cto.com/art/201307/401702.htm" w:history="1">
        <w:r w:rsidRPr="003E4180">
          <w:rPr>
            <w:rFonts w:ascii="微软雅黑" w:eastAsia="微软雅黑" w:hAnsi="微软雅黑" w:cs="宋体" w:hint="eastAsia"/>
            <w:color w:val="000000"/>
            <w:kern w:val="0"/>
            <w:sz w:val="15"/>
          </w:rPr>
          <w:t>MHA脚本</w:t>
        </w:r>
      </w:hyperlink>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可以有多台从库，从库可以做报表和备份</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lastRenderedPageBreak/>
        <w:t> </w:t>
      </w:r>
      <w:r>
        <w:rPr>
          <w:rFonts w:ascii="微软雅黑" w:eastAsia="微软雅黑" w:hAnsi="微软雅黑" w:cs="宋体"/>
          <w:noProof/>
          <w:color w:val="333333"/>
          <w:kern w:val="0"/>
          <w:sz w:val="15"/>
          <w:szCs w:val="15"/>
        </w:rPr>
        <w:drawing>
          <wp:inline distT="0" distB="0" distL="0" distR="0">
            <wp:extent cx="6878782" cy="4877333"/>
            <wp:effectExtent l="19050" t="0" r="0" b="0"/>
            <wp:docPr id="7" name="图片 7" descr="http://images.cnitblog.com/i/572343/201407/112247213641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cnitblog.com/i/572343/201407/112247213641053.jpg"/>
                    <pic:cNvPicPr>
                      <a:picLocks noChangeAspect="1" noChangeArrowheads="1"/>
                    </pic:cNvPicPr>
                  </pic:nvPicPr>
                  <pic:blipFill>
                    <a:blip r:embed="rId13"/>
                    <a:srcRect/>
                    <a:stretch>
                      <a:fillRect/>
                    </a:stretch>
                  </pic:blipFill>
                  <pic:spPr bwMode="auto">
                    <a:xfrm>
                      <a:off x="0" y="0"/>
                      <a:ext cx="6881927" cy="4879563"/>
                    </a:xfrm>
                    <a:prstGeom prst="rect">
                      <a:avLst/>
                    </a:prstGeom>
                    <a:noFill/>
                    <a:ln w="9525">
                      <a:noFill/>
                      <a:miter lim="800000"/>
                      <a:headEnd/>
                      <a:tailEnd/>
                    </a:ln>
                  </pic:spPr>
                </pic:pic>
              </a:graphicData>
            </a:graphic>
          </wp:inline>
        </w:drawing>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26"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方案二：双主（单活），failover比单主简单</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515388" cy="4766011"/>
            <wp:effectExtent l="19050" t="0" r="0" b="0"/>
            <wp:docPr id="9" name="图片 9" descr="http://images.cnitblog.com/i/572343/201407/112233058013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cnitblog.com/i/572343/201407/112233058013131.jpg"/>
                    <pic:cNvPicPr>
                      <a:picLocks noChangeAspect="1" noChangeArrowheads="1"/>
                    </pic:cNvPicPr>
                  </pic:nvPicPr>
                  <pic:blipFill>
                    <a:blip r:embed="rId14"/>
                    <a:srcRect/>
                    <a:stretch>
                      <a:fillRect/>
                    </a:stretch>
                  </pic:blipFill>
                  <pic:spPr bwMode="auto">
                    <a:xfrm>
                      <a:off x="0" y="0"/>
                      <a:ext cx="6516990" cy="4767183"/>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同样，自动切换需要</w:t>
      </w:r>
      <w:hyperlink r:id="rId15" w:tgtFrame="_blank" w:tooltip="http://blog.chinaunix.net/uid-20639775-id-3337488.html" w:history="1">
        <w:r w:rsidRPr="003E4180">
          <w:rPr>
            <w:rFonts w:ascii="微软雅黑" w:eastAsia="微软雅黑" w:hAnsi="微软雅黑" w:cs="宋体" w:hint="eastAsia"/>
            <w:color w:val="000000"/>
            <w:kern w:val="0"/>
            <w:sz w:val="15"/>
          </w:rPr>
          <w:t>MMM脚本</w:t>
        </w:r>
      </w:hyperlink>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缺点是某个主挂掉了，他下面的slave同样挂掉</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204701" cy="3888340"/>
            <wp:effectExtent l="19050" t="0" r="5599" b="0"/>
            <wp:docPr id="10" name="图片 10" descr="http://images.cnitblog.com/i/572343/201407/112248208326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cnitblog.com/i/572343/201407/112248208326350.jpg"/>
                    <pic:cNvPicPr>
                      <a:picLocks noChangeAspect="1" noChangeArrowheads="1"/>
                    </pic:cNvPicPr>
                  </pic:nvPicPr>
                  <pic:blipFill>
                    <a:blip r:embed="rId16"/>
                    <a:srcRect/>
                    <a:stretch>
                      <a:fillRect/>
                    </a:stretch>
                  </pic:blipFill>
                  <pic:spPr bwMode="auto">
                    <a:xfrm>
                      <a:off x="0" y="0"/>
                      <a:ext cx="6205118" cy="3888601"/>
                    </a:xfrm>
                    <a:prstGeom prst="rect">
                      <a:avLst/>
                    </a:prstGeom>
                    <a:noFill/>
                    <a:ln w="9525">
                      <a:noFill/>
                      <a:miter lim="800000"/>
                      <a:headEnd/>
                      <a:tailEnd/>
                    </a:ln>
                  </pic:spPr>
                </pic:pic>
              </a:graphicData>
            </a:graphic>
          </wp:inline>
        </w:drawing>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27"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方案三：双主配SAN存储（单活）</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577676" cy="4803701"/>
            <wp:effectExtent l="19050" t="0" r="0" b="0"/>
            <wp:docPr id="12" name="图片 12" descr="http://images.cnitblog.com/i/572343/201407/112234354266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cnitblog.com/i/572343/201407/112234354266450.jpg"/>
                    <pic:cNvPicPr>
                      <a:picLocks noChangeAspect="1" noChangeArrowheads="1"/>
                    </pic:cNvPicPr>
                  </pic:nvPicPr>
                  <pic:blipFill>
                    <a:blip r:embed="rId17"/>
                    <a:srcRect/>
                    <a:stretch>
                      <a:fillRect/>
                    </a:stretch>
                  </pic:blipFill>
                  <pic:spPr bwMode="auto">
                    <a:xfrm>
                      <a:off x="0" y="0"/>
                      <a:ext cx="6577285" cy="4803416"/>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这个架构跟方案二是一样的，只不过两个master之间不需要同步数据，因为他们用的是共享磁盘</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这个方案是</w:t>
      </w:r>
      <w:r w:rsidRPr="003E4180">
        <w:rPr>
          <w:rFonts w:ascii="微软雅黑" w:eastAsia="微软雅黑" w:hAnsi="微软雅黑" w:cs="宋体" w:hint="eastAsia"/>
          <w:b/>
          <w:bCs/>
          <w:color w:val="FF0000"/>
          <w:kern w:val="0"/>
          <w:sz w:val="18"/>
        </w:rPr>
        <w:t>有钱人方案</w:t>
      </w:r>
      <w:r w:rsidRPr="003E4180">
        <w:rPr>
          <w:rFonts w:ascii="微软雅黑" w:eastAsia="微软雅黑" w:hAnsi="微软雅黑" w:cs="宋体" w:hint="eastAsia"/>
          <w:color w:val="333333"/>
          <w:kern w:val="0"/>
          <w:sz w:val="15"/>
          <w:szCs w:val="15"/>
        </w:rPr>
        <w:t>，无论哪个主挂掉都不会引起其他的slave挂掉，但是SAN存储死贵。。</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像通信行业中国联通这些公司有用到</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某个主挂掉了，下面的slave不会挂掉</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注意：failover之后不会预热，数据没有预先加载到内存中，切换之后一段时间内存储会有一定的性能影响</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lastRenderedPageBreak/>
        <w:t> </w:t>
      </w:r>
      <w:r>
        <w:rPr>
          <w:rFonts w:ascii="微软雅黑" w:eastAsia="微软雅黑" w:hAnsi="微软雅黑" w:cs="宋体"/>
          <w:noProof/>
          <w:color w:val="333333"/>
          <w:kern w:val="0"/>
          <w:sz w:val="15"/>
          <w:szCs w:val="15"/>
        </w:rPr>
        <w:drawing>
          <wp:inline distT="0" distB="0" distL="0" distR="0">
            <wp:extent cx="6502769" cy="4227938"/>
            <wp:effectExtent l="19050" t="0" r="0" b="0"/>
            <wp:docPr id="13" name="图片 13" descr="http://images.cnitblog.com/i/572343/201407/112251318328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cnitblog.com/i/572343/201407/112251318328465.jpg"/>
                    <pic:cNvPicPr>
                      <a:picLocks noChangeAspect="1" noChangeArrowheads="1"/>
                    </pic:cNvPicPr>
                  </pic:nvPicPr>
                  <pic:blipFill>
                    <a:blip r:embed="rId18"/>
                    <a:srcRect/>
                    <a:stretch>
                      <a:fillRect/>
                    </a:stretch>
                  </pic:blipFill>
                  <pic:spPr bwMode="auto">
                    <a:xfrm>
                      <a:off x="0" y="0"/>
                      <a:ext cx="6503027" cy="4228106"/>
                    </a:xfrm>
                    <a:prstGeom prst="rect">
                      <a:avLst/>
                    </a:prstGeom>
                    <a:noFill/>
                    <a:ln w="9525">
                      <a:noFill/>
                      <a:miter lim="800000"/>
                      <a:headEnd/>
                      <a:tailEnd/>
                    </a:ln>
                  </pic:spPr>
                </pic:pic>
              </a:graphicData>
            </a:graphic>
          </wp:inline>
        </w:drawing>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28"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方案四：DRBD 双主配DRBD （单活）</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786707" cy="4571206"/>
            <wp:effectExtent l="19050" t="0" r="0" b="0"/>
            <wp:docPr id="15" name="图片 15" descr="http://images.cnitblog.com/i/572343/201407/11223914332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cnitblog.com/i/572343/201407/112239143322442.jpg"/>
                    <pic:cNvPicPr>
                      <a:picLocks noChangeAspect="1" noChangeArrowheads="1"/>
                    </pic:cNvPicPr>
                  </pic:nvPicPr>
                  <pic:blipFill>
                    <a:blip r:embed="rId19"/>
                    <a:srcRect/>
                    <a:stretch>
                      <a:fillRect/>
                    </a:stretch>
                  </pic:blipFill>
                  <pic:spPr bwMode="auto">
                    <a:xfrm>
                      <a:off x="0" y="0"/>
                      <a:ext cx="6785403" cy="4570328"/>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结构跟方案三一样，唯一不同的是没有使用SAN网络存储 ，而是使用</w:t>
      </w:r>
      <w:r w:rsidRPr="003E4180">
        <w:rPr>
          <w:rFonts w:ascii="微软雅黑" w:eastAsia="微软雅黑" w:hAnsi="微软雅黑" w:cs="宋体" w:hint="eastAsia"/>
          <w:b/>
          <w:bCs/>
          <w:color w:val="333333"/>
          <w:kern w:val="0"/>
          <w:sz w:val="15"/>
        </w:rPr>
        <w:t>local disk</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由于是实时复制磁盘数据，性能会有影响</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人们把DRBD称为</w:t>
      </w:r>
      <w:r w:rsidRPr="003E4180">
        <w:rPr>
          <w:rFonts w:ascii="微软雅黑" w:eastAsia="微软雅黑" w:hAnsi="微软雅黑" w:cs="宋体" w:hint="eastAsia"/>
          <w:b/>
          <w:bCs/>
          <w:color w:val="FF0000"/>
          <w:kern w:val="0"/>
          <w:sz w:val="18"/>
        </w:rPr>
        <w:t>“屌丝的SAN”</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b/>
          <w:bCs/>
          <w:color w:val="FF0000"/>
          <w:kern w:val="0"/>
          <w:sz w:val="18"/>
        </w:rPr>
        <w:t>POOR MAN'S SAN：穷人的SAN</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lastRenderedPageBreak/>
        <w:t> </w:t>
      </w:r>
      <w:r>
        <w:rPr>
          <w:rFonts w:ascii="微软雅黑" w:eastAsia="微软雅黑" w:hAnsi="微软雅黑" w:cs="宋体"/>
          <w:noProof/>
          <w:color w:val="333333"/>
          <w:kern w:val="0"/>
          <w:sz w:val="15"/>
          <w:szCs w:val="15"/>
        </w:rPr>
        <w:drawing>
          <wp:inline distT="0" distB="0" distL="0" distR="0">
            <wp:extent cx="6212173" cy="3988376"/>
            <wp:effectExtent l="19050" t="0" r="0" b="0"/>
            <wp:docPr id="16" name="图片 16" descr="http://images.cnitblog.com/i/572343/201407/11224356785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ages.cnitblog.com/i/572343/201407/112243567857817.jpg"/>
                    <pic:cNvPicPr>
                      <a:picLocks noChangeAspect="1" noChangeArrowheads="1"/>
                    </pic:cNvPicPr>
                  </pic:nvPicPr>
                  <pic:blipFill>
                    <a:blip r:embed="rId20"/>
                    <a:srcRect/>
                    <a:stretch>
                      <a:fillRect/>
                    </a:stretch>
                  </pic:blipFill>
                  <pic:spPr bwMode="auto">
                    <a:xfrm>
                      <a:off x="0" y="0"/>
                      <a:ext cx="6212257" cy="3988430"/>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29"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方案五：NDB CLUSTER</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lastRenderedPageBreak/>
        <w:t> </w:t>
      </w:r>
      <w:r>
        <w:rPr>
          <w:rFonts w:ascii="微软雅黑" w:eastAsia="微软雅黑" w:hAnsi="微软雅黑" w:cs="宋体"/>
          <w:noProof/>
          <w:color w:val="333333"/>
          <w:kern w:val="0"/>
          <w:sz w:val="15"/>
          <w:szCs w:val="15"/>
        </w:rPr>
        <w:drawing>
          <wp:inline distT="0" distB="0" distL="0" distR="0">
            <wp:extent cx="6467432" cy="4502496"/>
            <wp:effectExtent l="19050" t="0" r="0" b="0"/>
            <wp:docPr id="18" name="图片 18" descr="http://images.cnitblog.com/i/572343/201407/112307549899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s.cnitblog.com/i/572343/201407/112307549899406.jpg"/>
                    <pic:cNvPicPr>
                      <a:picLocks noChangeAspect="1" noChangeArrowheads="1"/>
                    </pic:cNvPicPr>
                  </pic:nvPicPr>
                  <pic:blipFill>
                    <a:blip r:embed="rId21"/>
                    <a:srcRect/>
                    <a:stretch>
                      <a:fillRect/>
                    </a:stretch>
                  </pic:blipFill>
                  <pic:spPr bwMode="auto">
                    <a:xfrm>
                      <a:off x="0" y="0"/>
                      <a:ext cx="6466878" cy="4502110"/>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国内用NDB集群的公司非常少，貌似有些银行有用</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NDB集群不需要依赖第三方组件，全部都使用官方组件，能保证数据的一致性</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某个数据节点挂掉，其他数据节点依然可以提供服务</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管理节点需要做冗余以防挂掉</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缺点是：管理和配置都很复杂，而且某些SQL语句例如join语句需要避免</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724257" cy="3767558"/>
            <wp:effectExtent l="19050" t="0" r="393" b="0"/>
            <wp:docPr id="19" name="图片 19" descr="http://images.cnitblog.com/i/572343/201407/112308221459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cnitblog.com/i/572343/201407/112308221459243.jpg"/>
                    <pic:cNvPicPr>
                      <a:picLocks noChangeAspect="1" noChangeArrowheads="1"/>
                    </pic:cNvPicPr>
                  </pic:nvPicPr>
                  <pic:blipFill>
                    <a:blip r:embed="rId22"/>
                    <a:srcRect/>
                    <a:stretch>
                      <a:fillRect/>
                    </a:stretch>
                  </pic:blipFill>
                  <pic:spPr bwMode="auto">
                    <a:xfrm>
                      <a:off x="0" y="0"/>
                      <a:ext cx="6724352" cy="3767611"/>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drawing>
          <wp:inline distT="0" distB="0" distL="0" distR="0">
            <wp:extent cx="6551938" cy="3814716"/>
            <wp:effectExtent l="19050" t="0" r="1262" b="0"/>
            <wp:docPr id="20" name="图片 20" descr="http://images.cnitblog.com/i/572343/201407/112308522398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ages.cnitblog.com/i/572343/201407/112308522398049.jpg"/>
                    <pic:cNvPicPr>
                      <a:picLocks noChangeAspect="1" noChangeArrowheads="1"/>
                    </pic:cNvPicPr>
                  </pic:nvPicPr>
                  <pic:blipFill>
                    <a:blip r:embed="rId23"/>
                    <a:srcRect/>
                    <a:stretch>
                      <a:fillRect/>
                    </a:stretch>
                  </pic:blipFill>
                  <pic:spPr bwMode="auto">
                    <a:xfrm>
                      <a:off x="0" y="0"/>
                      <a:ext cx="6551661" cy="3814555"/>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30"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方案六：第三方的Tungsten软件</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7278282" cy="4845892"/>
            <wp:effectExtent l="19050" t="0" r="0" b="0"/>
            <wp:docPr id="22" name="图片 22" descr="http://images.cnitblog.com/i/572343/201407/1123132261457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cnitblog.com/i/572343/201407/112313226145749.jpg"/>
                    <pic:cNvPicPr>
                      <a:picLocks noChangeAspect="1" noChangeArrowheads="1"/>
                    </pic:cNvPicPr>
                  </pic:nvPicPr>
                  <pic:blipFill>
                    <a:blip r:embed="rId24"/>
                    <a:srcRect/>
                    <a:stretch>
                      <a:fillRect/>
                    </a:stretch>
                  </pic:blipFill>
                  <pic:spPr bwMode="auto">
                    <a:xfrm>
                      <a:off x="0" y="0"/>
                      <a:ext cx="7278533" cy="4846059"/>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使用java编写，不是MYSQL内置的</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同样是MYSQL数据库复制，不过他不是用MYSQL内置的组件来做的</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不但支持MYSQL数据库复制也支持异构数据库的复制，而且对异构数据库复制支持较好，例如MYSQL复制到ORACLE</w:t>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31"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方案七：网易的INNOSQL</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类似于SQLSERVER的</w:t>
      </w:r>
      <w:hyperlink r:id="rId25" w:tgtFrame="_blank" w:tooltip="http://blogs.msdn.com/b/apgcdsd/archive/2012/10/19/sql-server-image.aspx" w:history="1">
        <w:r w:rsidRPr="003E4180">
          <w:rPr>
            <w:rFonts w:ascii="微软雅黑" w:eastAsia="微软雅黑" w:hAnsi="微软雅黑" w:cs="宋体" w:hint="eastAsia"/>
            <w:color w:val="000000"/>
            <w:kern w:val="0"/>
            <w:sz w:val="15"/>
          </w:rPr>
          <w:t>镜像高安全模式</w:t>
        </w:r>
      </w:hyperlink>
    </w:p>
    <w:p w:rsidR="003E4180" w:rsidRPr="003E4180" w:rsidRDefault="003E4180" w:rsidP="003E4180">
      <w:pPr>
        <w:widowControl/>
        <w:shd w:val="clear" w:color="auto" w:fill="FFFFFF"/>
        <w:spacing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High Safety 模式 （也就是同步模式）没有 witness服务器</w:t>
      </w:r>
    </w:p>
    <w:p w:rsidR="003E4180" w:rsidRPr="003E4180" w:rsidRDefault="003E4180" w:rsidP="003E4180">
      <w:pPr>
        <w:widowControl/>
        <w:shd w:val="clear" w:color="auto" w:fill="FFFFFF"/>
        <w:spacing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数据库在Principle的事务，</w:t>
      </w:r>
      <w:r w:rsidRPr="003E4180">
        <w:rPr>
          <w:rFonts w:ascii="微软雅黑" w:eastAsia="微软雅黑" w:hAnsi="微软雅黑" w:cs="宋体" w:hint="eastAsia"/>
          <w:b/>
          <w:bCs/>
          <w:color w:val="333333"/>
          <w:kern w:val="0"/>
          <w:sz w:val="15"/>
          <w:u w:val="single"/>
        </w:rPr>
        <w:t>需要马上得到mirror的确认，才能完成</w:t>
      </w:r>
      <w:r w:rsidRPr="003E4180">
        <w:rPr>
          <w:rFonts w:ascii="微软雅黑" w:eastAsia="微软雅黑" w:hAnsi="微软雅黑" w:cs="宋体" w:hint="eastAsia"/>
          <w:color w:val="333333"/>
          <w:kern w:val="0"/>
          <w:sz w:val="15"/>
          <w:szCs w:val="15"/>
        </w:rPr>
        <w:t>。这种情况下，Mirror和Principle的数据是同步的。</w:t>
      </w:r>
    </w:p>
    <w:p w:rsidR="003E4180" w:rsidRPr="003E4180" w:rsidRDefault="003E4180" w:rsidP="003E4180">
      <w:pPr>
        <w:widowControl/>
        <w:shd w:val="clear" w:color="auto" w:fill="FFFFFF"/>
        <w:spacing w:before="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但是因为所有的事务需要mirror的确认，所以性能可能会有所影响。</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区别：innosql的slave可以读，镜像的slave（从库）不可读</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保证数据不会丢失，数据的高可靠性</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mysql5.7开始支持这种模式</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Pr>
          <w:rFonts w:ascii="微软雅黑" w:eastAsia="微软雅黑" w:hAnsi="微软雅黑" w:cs="宋体"/>
          <w:noProof/>
          <w:color w:val="333333"/>
          <w:kern w:val="0"/>
          <w:sz w:val="15"/>
          <w:szCs w:val="15"/>
        </w:rPr>
        <w:lastRenderedPageBreak/>
        <w:drawing>
          <wp:inline distT="0" distB="0" distL="0" distR="0">
            <wp:extent cx="6563880" cy="4218934"/>
            <wp:effectExtent l="19050" t="0" r="8370" b="0"/>
            <wp:docPr id="24" name="图片 24" descr="http://images.cnitblog.com/i/572343/201407/112329447395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cnitblog.com/i/572343/201407/112329447395404.jpg"/>
                    <pic:cNvPicPr>
                      <a:picLocks noChangeAspect="1" noChangeArrowheads="1"/>
                    </pic:cNvPicPr>
                  </pic:nvPicPr>
                  <pic:blipFill>
                    <a:blip r:embed="rId26"/>
                    <a:srcRect/>
                    <a:stretch>
                      <a:fillRect/>
                    </a:stretch>
                  </pic:blipFill>
                  <pic:spPr bwMode="auto">
                    <a:xfrm>
                      <a:off x="0" y="0"/>
                      <a:ext cx="6563615" cy="4218763"/>
                    </a:xfrm>
                    <a:prstGeom prst="rect">
                      <a:avLst/>
                    </a:prstGeom>
                    <a:noFill/>
                    <a:ln w="9525">
                      <a:noFill/>
                      <a:miter lim="800000"/>
                      <a:headEnd/>
                      <a:tailEnd/>
                    </a:ln>
                  </pic:spPr>
                </pic:pic>
              </a:graphicData>
            </a:graphic>
          </wp:inline>
        </w:drawing>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 </w:t>
      </w:r>
    </w:p>
    <w:p w:rsidR="003E4180" w:rsidRPr="003E4180" w:rsidRDefault="003E4180" w:rsidP="003E4180">
      <w:pPr>
        <w:widowControl/>
        <w:jc w:val="left"/>
        <w:rPr>
          <w:rFonts w:ascii="宋体" w:eastAsia="宋体" w:hAnsi="宋体" w:cs="宋体" w:hint="eastAsia"/>
          <w:kern w:val="0"/>
          <w:sz w:val="24"/>
          <w:szCs w:val="24"/>
        </w:rPr>
      </w:pPr>
      <w:r w:rsidRPr="003E4180">
        <w:rPr>
          <w:rFonts w:ascii="宋体" w:eastAsia="宋体" w:hAnsi="宋体" w:cs="宋体"/>
          <w:kern w:val="0"/>
          <w:sz w:val="24"/>
          <w:szCs w:val="24"/>
        </w:rPr>
        <w:pict>
          <v:rect id="_x0000_i1032" style="width:0;height:1.5pt" o:hralign="center" o:hrstd="t" o:hrnoshade="t" o:hr="t" fillcolor="#333" stroked="f"/>
        </w:pict>
      </w:r>
    </w:p>
    <w:p w:rsidR="003E4180" w:rsidRPr="003E4180" w:rsidRDefault="003E4180" w:rsidP="003E4180">
      <w:pPr>
        <w:widowControl/>
        <w:shd w:val="clear" w:color="auto" w:fill="FFFFFF"/>
        <w:spacing w:line="275" w:lineRule="atLeast"/>
        <w:jc w:val="left"/>
        <w:rPr>
          <w:rFonts w:ascii="微软雅黑" w:eastAsia="微软雅黑" w:hAnsi="微软雅黑" w:cs="宋体"/>
          <w:color w:val="333333"/>
          <w:kern w:val="0"/>
          <w:sz w:val="15"/>
          <w:szCs w:val="15"/>
        </w:rPr>
      </w:pPr>
      <w:r w:rsidRPr="003E4180">
        <w:rPr>
          <w:rFonts w:ascii="微软雅黑" w:eastAsia="微软雅黑" w:hAnsi="微软雅黑" w:cs="宋体" w:hint="eastAsia"/>
          <w:b/>
          <w:bCs/>
          <w:color w:val="FF9900"/>
          <w:kern w:val="0"/>
          <w:sz w:val="15"/>
        </w:rPr>
        <w:t>总结</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每种方案都有不同的特点，配置和应用场景也各有不同</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有些偏向于成本低的，有些偏向于成本高的，有些偏向于数据的可靠性，有些则偏向于数据库的可用性</w:t>
      </w:r>
    </w:p>
    <w:p w:rsidR="003E4180" w:rsidRPr="003E4180" w:rsidRDefault="003E4180" w:rsidP="003E4180">
      <w:pPr>
        <w:widowControl/>
        <w:shd w:val="clear" w:color="auto" w:fill="FFFFFF"/>
        <w:spacing w:before="109" w:after="109" w:line="275" w:lineRule="atLeast"/>
        <w:jc w:val="left"/>
        <w:rPr>
          <w:rFonts w:ascii="微软雅黑" w:eastAsia="微软雅黑" w:hAnsi="微软雅黑" w:cs="宋体" w:hint="eastAsia"/>
          <w:color w:val="333333"/>
          <w:kern w:val="0"/>
          <w:sz w:val="15"/>
          <w:szCs w:val="15"/>
        </w:rPr>
      </w:pPr>
      <w:r w:rsidRPr="003E4180">
        <w:rPr>
          <w:rFonts w:ascii="微软雅黑" w:eastAsia="微软雅黑" w:hAnsi="微软雅黑" w:cs="宋体" w:hint="eastAsia"/>
          <w:color w:val="333333"/>
          <w:kern w:val="0"/>
          <w:sz w:val="15"/>
          <w:szCs w:val="15"/>
        </w:rPr>
        <w:t>反正各个方案都各有优缺点，DBA要结合自己公司的业务情况进行选择合适自己业务情况的高可用方案</w:t>
      </w:r>
    </w:p>
    <w:p w:rsidR="00BA5517" w:rsidRPr="003E4180" w:rsidRDefault="00BA5517"/>
    <w:sectPr w:rsidR="00BA5517" w:rsidRPr="003E418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5517" w:rsidRDefault="00BA5517" w:rsidP="003E4180">
      <w:r>
        <w:separator/>
      </w:r>
    </w:p>
  </w:endnote>
  <w:endnote w:type="continuationSeparator" w:id="1">
    <w:p w:rsidR="00BA5517" w:rsidRDefault="00BA5517" w:rsidP="003E418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5517" w:rsidRDefault="00BA5517" w:rsidP="003E4180">
      <w:r>
        <w:separator/>
      </w:r>
    </w:p>
  </w:footnote>
  <w:footnote w:type="continuationSeparator" w:id="1">
    <w:p w:rsidR="00BA5517" w:rsidRDefault="00BA5517" w:rsidP="003E418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E4180"/>
    <w:rsid w:val="003E4180"/>
    <w:rsid w:val="00BA551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3E4180"/>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E418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E4180"/>
    <w:rPr>
      <w:sz w:val="18"/>
      <w:szCs w:val="18"/>
    </w:rPr>
  </w:style>
  <w:style w:type="paragraph" w:styleId="a4">
    <w:name w:val="footer"/>
    <w:basedOn w:val="a"/>
    <w:link w:val="Char0"/>
    <w:uiPriority w:val="99"/>
    <w:semiHidden/>
    <w:unhideWhenUsed/>
    <w:rsid w:val="003E418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E4180"/>
    <w:rPr>
      <w:sz w:val="18"/>
      <w:szCs w:val="18"/>
    </w:rPr>
  </w:style>
  <w:style w:type="character" w:customStyle="1" w:styleId="1Char">
    <w:name w:val="标题 1 Char"/>
    <w:basedOn w:val="a0"/>
    <w:link w:val="1"/>
    <w:uiPriority w:val="9"/>
    <w:rsid w:val="003E4180"/>
    <w:rPr>
      <w:rFonts w:ascii="宋体" w:eastAsia="宋体" w:hAnsi="宋体" w:cs="宋体"/>
      <w:b/>
      <w:bCs/>
      <w:kern w:val="36"/>
      <w:sz w:val="48"/>
      <w:szCs w:val="48"/>
    </w:rPr>
  </w:style>
  <w:style w:type="paragraph" w:styleId="a5">
    <w:name w:val="Normal (Web)"/>
    <w:basedOn w:val="a"/>
    <w:uiPriority w:val="99"/>
    <w:semiHidden/>
    <w:unhideWhenUsed/>
    <w:rsid w:val="003E4180"/>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3E4180"/>
    <w:rPr>
      <w:color w:val="0000FF"/>
      <w:u w:val="single"/>
    </w:rPr>
  </w:style>
  <w:style w:type="character" w:styleId="a7">
    <w:name w:val="Strong"/>
    <w:basedOn w:val="a0"/>
    <w:uiPriority w:val="22"/>
    <w:qFormat/>
    <w:rsid w:val="003E4180"/>
    <w:rPr>
      <w:b/>
      <w:bCs/>
    </w:rPr>
  </w:style>
  <w:style w:type="paragraph" w:styleId="a8">
    <w:name w:val="Balloon Text"/>
    <w:basedOn w:val="a"/>
    <w:link w:val="Char1"/>
    <w:uiPriority w:val="99"/>
    <w:semiHidden/>
    <w:unhideWhenUsed/>
    <w:rsid w:val="003E4180"/>
    <w:rPr>
      <w:sz w:val="18"/>
      <w:szCs w:val="18"/>
    </w:rPr>
  </w:style>
  <w:style w:type="character" w:customStyle="1" w:styleId="Char1">
    <w:name w:val="批注框文本 Char"/>
    <w:basedOn w:val="a0"/>
    <w:link w:val="a8"/>
    <w:uiPriority w:val="99"/>
    <w:semiHidden/>
    <w:rsid w:val="003E4180"/>
    <w:rPr>
      <w:sz w:val="18"/>
      <w:szCs w:val="18"/>
    </w:rPr>
  </w:style>
</w:styles>
</file>

<file path=word/webSettings.xml><?xml version="1.0" encoding="utf-8"?>
<w:webSettings xmlns:r="http://schemas.openxmlformats.org/officeDocument/2006/relationships" xmlns:w="http://schemas.openxmlformats.org/wordprocessingml/2006/main">
  <w:divs>
    <w:div w:id="1495336879">
      <w:bodyDiv w:val="1"/>
      <w:marLeft w:val="0"/>
      <w:marRight w:val="0"/>
      <w:marTop w:val="0"/>
      <w:marBottom w:val="0"/>
      <w:divBdr>
        <w:top w:val="none" w:sz="0" w:space="0" w:color="auto"/>
        <w:left w:val="none" w:sz="0" w:space="0" w:color="auto"/>
        <w:bottom w:val="none" w:sz="0" w:space="0" w:color="auto"/>
        <w:right w:val="none" w:sz="0" w:space="0" w:color="auto"/>
      </w:divBdr>
      <w:divsChild>
        <w:div w:id="1820615202">
          <w:blockQuote w:val="1"/>
          <w:marLeft w:val="0"/>
          <w:marRight w:val="0"/>
          <w:marTop w:val="109"/>
          <w:marBottom w:val="109"/>
          <w:divBdr>
            <w:top w:val="single" w:sz="8" w:space="3" w:color="EFEFEF"/>
            <w:left w:val="single" w:sz="8" w:space="5" w:color="EFEFEF"/>
            <w:bottom w:val="single" w:sz="8" w:space="3" w:color="EFEFEF"/>
            <w:right w:val="single" w:sz="8" w:space="5" w:color="EFEFE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hyperlink" Target="http://os.51cto.com/art/201307/401702.htm" TargetMode="External"/><Relationship Id="rId17" Type="http://schemas.openxmlformats.org/officeDocument/2006/relationships/image" Target="media/image9.jpeg"/><Relationship Id="rId25" Type="http://schemas.openxmlformats.org/officeDocument/2006/relationships/hyperlink" Target="http://blogs.msdn.com/b/apgcdsd/archive/2012/10/19/sql-server-image.aspx" TargetMode="External"/><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hyperlink" Target="http://baike.baidu.com/view/5101249.htm?fr=aladdin" TargetMode="External"/><Relationship Id="rId11" Type="http://schemas.openxmlformats.org/officeDocument/2006/relationships/image" Target="media/image5.jpeg"/><Relationship Id="rId24" Type="http://schemas.openxmlformats.org/officeDocument/2006/relationships/image" Target="media/image16.jpeg"/><Relationship Id="rId5" Type="http://schemas.openxmlformats.org/officeDocument/2006/relationships/endnotes" Target="endnotes.xml"/><Relationship Id="rId15" Type="http://schemas.openxmlformats.org/officeDocument/2006/relationships/hyperlink" Target="http://blog.chinaunix.net/uid-20639775-id-3337488.html" TargetMode="External"/><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2016-09-09T06:01:00Z</dcterms:created>
  <dcterms:modified xsi:type="dcterms:W3CDTF">2016-09-09T06:03:00Z</dcterms:modified>
</cp:coreProperties>
</file>