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6B53" w14:textId="77777777" w:rsidR="00EB57D7" w:rsidRPr="00EB57D7" w:rsidRDefault="00EB57D7" w:rsidP="00EB57D7">
      <w:pPr>
        <w:rPr>
          <w:b/>
          <w:bCs/>
        </w:rPr>
      </w:pPr>
      <w:r w:rsidRPr="00EB57D7">
        <w:rPr>
          <w:b/>
          <w:bCs/>
        </w:rPr>
        <w:t>Design Philosophy &amp; Strategy</w:t>
      </w:r>
    </w:p>
    <w:p w14:paraId="3E791D4E" w14:textId="77777777" w:rsidR="00EB57D7" w:rsidRPr="00EB57D7" w:rsidRDefault="00EB57D7" w:rsidP="00EB57D7">
      <w:r w:rsidRPr="00EB57D7">
        <w:t>The interface is engineered to eliminate the operational friction of multi-currency management, which traditionally forces users to juggle multiple local and international bank accounts. The design language relies on three core pillars:</w:t>
      </w:r>
    </w:p>
    <w:p w14:paraId="4765FE1F" w14:textId="77777777" w:rsidR="00EB57D7" w:rsidRPr="00EB57D7" w:rsidRDefault="00EB57D7" w:rsidP="00EB57D7">
      <w:pPr>
        <w:numPr>
          <w:ilvl w:val="0"/>
          <w:numId w:val="1"/>
        </w:numPr>
      </w:pPr>
      <w:r w:rsidRPr="00EB57D7">
        <w:rPr>
          <w:b/>
          <w:bCs/>
        </w:rPr>
        <w:t>Radical Transparency:</w:t>
      </w:r>
      <w:r w:rsidRPr="00EB57D7">
        <w:t xml:space="preserve"> Highlighting real-time conversion rates and eliminating hidden exchange rate markups visually before any transaction is confirmed.</w:t>
      </w:r>
    </w:p>
    <w:p w14:paraId="2ED2BB5D" w14:textId="77777777" w:rsidR="00EB57D7" w:rsidRPr="00EB57D7" w:rsidRDefault="00EB57D7" w:rsidP="00EB57D7">
      <w:pPr>
        <w:numPr>
          <w:ilvl w:val="0"/>
          <w:numId w:val="1"/>
        </w:numPr>
      </w:pPr>
      <w:r w:rsidRPr="00EB57D7">
        <w:rPr>
          <w:b/>
          <w:bCs/>
        </w:rPr>
        <w:t>Cross-Generational Accessibility:</w:t>
      </w:r>
      <w:r w:rsidRPr="00EB57D7">
        <w:t xml:space="preserve"> Serving two distinct primary and secondary audiences by balancing a modern, gamified neo-bank feel for international university students with high-contrast, straightforward navigation for older parents and sponsors initiating cross-border transfers.</w:t>
      </w:r>
    </w:p>
    <w:p w14:paraId="656A98ED" w14:textId="77777777" w:rsidR="00EB57D7" w:rsidRPr="00EB57D7" w:rsidRDefault="00EB57D7" w:rsidP="00EB57D7">
      <w:pPr>
        <w:numPr>
          <w:ilvl w:val="0"/>
          <w:numId w:val="1"/>
        </w:numPr>
      </w:pPr>
      <w:r w:rsidRPr="00EB57D7">
        <w:rPr>
          <w:b/>
          <w:bCs/>
        </w:rPr>
        <w:t>Security &amp; Trust:</w:t>
      </w:r>
      <w:r w:rsidRPr="00EB57D7">
        <w:t xml:space="preserve"> Utilizing visual cues like lock icons, strict permission-tier badging for user and admin roles, and seamless integration with Better Auth to assure users that data protection and encryption specifications are actively enforced.</w:t>
      </w:r>
    </w:p>
    <w:p w14:paraId="4579BA80" w14:textId="77777777" w:rsidR="00EB57D7" w:rsidRPr="00EB57D7" w:rsidRDefault="00EB57D7" w:rsidP="00EB57D7">
      <w:pPr>
        <w:rPr>
          <w:b/>
          <w:bCs/>
        </w:rPr>
      </w:pPr>
      <w:r w:rsidRPr="00EB57D7">
        <w:rPr>
          <w:b/>
          <w:bCs/>
        </w:rPr>
        <w:t>Core User Flows</w:t>
      </w:r>
    </w:p>
    <w:p w14:paraId="69F4AABF" w14:textId="77777777" w:rsidR="00EB57D7" w:rsidRPr="00EB57D7" w:rsidRDefault="00EB57D7" w:rsidP="00EB57D7">
      <w:r w:rsidRPr="00EB57D7">
        <w:t>The primary lifecycle of money movement integrates the sponsor, the student, and the educational institution into a single cohesive loop.</w:t>
      </w:r>
    </w:p>
    <w:p w14:paraId="6A4750F4" w14:textId="77777777" w:rsidR="00EB57D7" w:rsidRPr="00EB57D7" w:rsidRDefault="00EB57D7" w:rsidP="00EB57D7">
      <w:r w:rsidRPr="00EB57D7">
        <w:rPr>
          <w:b/>
          <w:bCs/>
        </w:rPr>
        <w:t>1. Remittances &amp; Multi-Currency Funding</w:t>
      </w:r>
    </w:p>
    <w:p w14:paraId="4CF98C3D" w14:textId="77777777" w:rsidR="00EB57D7" w:rsidRPr="00EB57D7" w:rsidRDefault="00EB57D7" w:rsidP="00EB57D7">
      <w:pPr>
        <w:numPr>
          <w:ilvl w:val="0"/>
          <w:numId w:val="2"/>
        </w:numPr>
      </w:pPr>
      <w:r w:rsidRPr="00EB57D7">
        <w:rPr>
          <w:b/>
          <w:bCs/>
        </w:rPr>
        <w:t>Fund Initiation:</w:t>
      </w:r>
      <w:r w:rsidRPr="00EB57D7">
        <w:t xml:space="preserve"> The interface provides a dedicated, simplified dashboard where a parent or sponsor deposits funds in their home currency into the platform.</w:t>
      </w:r>
    </w:p>
    <w:p w14:paraId="1C85D3B5" w14:textId="77777777" w:rsidR="00EB57D7" w:rsidRPr="00EB57D7" w:rsidRDefault="00EB57D7" w:rsidP="00EB57D7">
      <w:pPr>
        <w:numPr>
          <w:ilvl w:val="0"/>
          <w:numId w:val="2"/>
        </w:numPr>
      </w:pPr>
      <w:r w:rsidRPr="00EB57D7">
        <w:rPr>
          <w:b/>
          <w:bCs/>
        </w:rPr>
        <w:t>Exchange &amp; Settlement:</w:t>
      </w:r>
      <w:r w:rsidRPr="00EB57D7">
        <w:t xml:space="preserve"> Users view a dynamic calculator that converts the funds to the host currency at competitive rates, making them immediately available within the student's digital wallet infrastructure.</w:t>
      </w:r>
    </w:p>
    <w:p w14:paraId="55178E89" w14:textId="77777777" w:rsidR="00EB57D7" w:rsidRPr="00EB57D7" w:rsidRDefault="00EB57D7" w:rsidP="00EB57D7">
      <w:pPr>
        <w:numPr>
          <w:ilvl w:val="0"/>
          <w:numId w:val="2"/>
        </w:numPr>
      </w:pPr>
      <w:r w:rsidRPr="00EB57D7">
        <w:rPr>
          <w:b/>
          <w:bCs/>
        </w:rPr>
        <w:t>Visual Confirmation:</w:t>
      </w:r>
      <w:r w:rsidRPr="00EB57D7">
        <w:t xml:space="preserve"> The UI uses immediate state changes and push notifications to confirm the settlement, bypassing the anxiety of delayed settlement times associated with archaic wire transfers.</w:t>
      </w:r>
    </w:p>
    <w:p w14:paraId="03C3F810" w14:textId="77777777" w:rsidR="00EB57D7" w:rsidRPr="00EB57D7" w:rsidRDefault="00EB57D7" w:rsidP="00EB57D7">
      <w:r w:rsidRPr="00EB57D7">
        <w:rPr>
          <w:b/>
          <w:bCs/>
        </w:rPr>
        <w:t>2. Tuition Routing &amp; Credit Building</w:t>
      </w:r>
    </w:p>
    <w:p w14:paraId="10102C92" w14:textId="77777777" w:rsidR="00EB57D7" w:rsidRPr="00EB57D7" w:rsidRDefault="00EB57D7" w:rsidP="00EB57D7">
      <w:pPr>
        <w:numPr>
          <w:ilvl w:val="0"/>
          <w:numId w:val="3"/>
        </w:numPr>
      </w:pPr>
      <w:r w:rsidRPr="00EB57D7">
        <w:rPr>
          <w:b/>
          <w:bCs/>
        </w:rPr>
        <w:t>Institutional Payment:</w:t>
      </w:r>
      <w:r w:rsidRPr="00EB57D7">
        <w:t xml:space="preserve"> The student accesses their host currency balance and uses an intuitive in-app portal to route exact tuition payments directly to their university billing system.</w:t>
      </w:r>
    </w:p>
    <w:p w14:paraId="578A9DB3" w14:textId="77777777" w:rsidR="00EB57D7" w:rsidRPr="00EB57D7" w:rsidRDefault="00EB57D7" w:rsidP="00EB57D7">
      <w:pPr>
        <w:numPr>
          <w:ilvl w:val="0"/>
          <w:numId w:val="3"/>
        </w:numPr>
      </w:pPr>
      <w:r w:rsidRPr="00EB57D7">
        <w:rPr>
          <w:b/>
          <w:bCs/>
        </w:rPr>
        <w:t>Credit Generation Engine:</w:t>
      </w:r>
      <w:r w:rsidRPr="00EB57D7">
        <w:t xml:space="preserve"> The application tracks successful, on-time tuition payments and other recurring obligations to calculate an internal reliability metric.</w:t>
      </w:r>
    </w:p>
    <w:p w14:paraId="7BD0D2DC" w14:textId="77777777" w:rsidR="00EB57D7" w:rsidRPr="00EB57D7" w:rsidRDefault="00EB57D7" w:rsidP="00EB57D7">
      <w:pPr>
        <w:numPr>
          <w:ilvl w:val="0"/>
          <w:numId w:val="3"/>
        </w:numPr>
      </w:pPr>
      <w:r w:rsidRPr="00EB57D7">
        <w:rPr>
          <w:b/>
          <w:bCs/>
        </w:rPr>
        <w:lastRenderedPageBreak/>
        <w:t>Progress Tracking:</w:t>
      </w:r>
      <w:r w:rsidRPr="00EB57D7">
        <w:t xml:space="preserve"> This metric is displayed via a prominent "Credit Builder" dashboard gauge, visually demonstrating to the student how their behavior is actively building their credit profile with local bureaus, curing their initial credit invisibility.</w:t>
      </w:r>
    </w:p>
    <w:p w14:paraId="15364546" w14:textId="77777777" w:rsidR="00EB57D7" w:rsidRPr="00EB57D7" w:rsidRDefault="00EB57D7" w:rsidP="00EB57D7">
      <w:pPr>
        <w:rPr>
          <w:b/>
          <w:bCs/>
        </w:rPr>
      </w:pPr>
      <w:r w:rsidRPr="00EB57D7">
        <w:rPr>
          <w:b/>
          <w:bCs/>
        </w:rPr>
        <w:t>Component Architecture</w:t>
      </w:r>
    </w:p>
    <w:p w14:paraId="5E0C51F0" w14:textId="77777777" w:rsidR="00EB57D7" w:rsidRPr="00EB57D7" w:rsidRDefault="00EB57D7" w:rsidP="00EB57D7">
      <w:r w:rsidRPr="00EB57D7">
        <w:t>To ensure consistency across the Shenzhen FinTech SF Assistant, the system architecture relies on standardized, reusable neo-banking components backed by a PostgreSQL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3498"/>
        <w:gridCol w:w="4062"/>
      </w:tblGrid>
      <w:tr w:rsidR="00EB57D7" w:rsidRPr="00EB57D7" w14:paraId="524E7E1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05748" w14:textId="77777777" w:rsidR="00EB57D7" w:rsidRPr="00EB57D7" w:rsidRDefault="00EB57D7" w:rsidP="00EB57D7">
            <w:r w:rsidRPr="00EB57D7">
              <w:rPr>
                <w:b/>
                <w:bCs/>
              </w:rPr>
              <w:t>Component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118A2" w14:textId="77777777" w:rsidR="00EB57D7" w:rsidRPr="00EB57D7" w:rsidRDefault="00EB57D7" w:rsidP="00EB57D7">
            <w:r w:rsidRPr="00EB57D7">
              <w:rPr>
                <w:b/>
                <w:bCs/>
              </w:rPr>
              <w:t>UI Elements &amp; Implementation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AD086" w14:textId="77777777" w:rsidR="00EB57D7" w:rsidRPr="00EB57D7" w:rsidRDefault="00EB57D7" w:rsidP="00EB57D7">
            <w:r w:rsidRPr="00EB57D7">
              <w:rPr>
                <w:b/>
                <w:bCs/>
              </w:rPr>
              <w:t>Purpose &amp; Value Proposition</w:t>
            </w:r>
          </w:p>
        </w:tc>
      </w:tr>
      <w:tr w:rsidR="00EB57D7" w:rsidRPr="00EB57D7" w14:paraId="4AAC10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746C4" w14:textId="77777777" w:rsidR="00EB57D7" w:rsidRPr="00EB57D7" w:rsidRDefault="00EB57D7" w:rsidP="00EB57D7">
            <w:r w:rsidRPr="00EB57D7">
              <w:rPr>
                <w:b/>
                <w:bCs/>
              </w:rPr>
              <w:t>Multi-Currency Wallet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298F4" w14:textId="77777777" w:rsidR="00EB57D7" w:rsidRPr="00EB57D7" w:rsidRDefault="00EB57D7" w:rsidP="00EB57D7">
            <w:r w:rsidRPr="00EB57D7">
              <w:t>Interactive balance cards featuring dual-currency toggles and real-time conversion widgets.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2BAFB" w14:textId="77777777" w:rsidR="00EB57D7" w:rsidRPr="00EB57D7" w:rsidRDefault="00EB57D7" w:rsidP="00EB57D7">
            <w:r w:rsidRPr="00EB57D7">
              <w:t>Allows users to hold and seamlessly switch between home and host country currencies within a single digital ecosystem.</w:t>
            </w:r>
          </w:p>
        </w:tc>
      </w:tr>
      <w:tr w:rsidR="00EB57D7" w:rsidRPr="00EB57D7" w14:paraId="71382B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130B2" w14:textId="77777777" w:rsidR="00EB57D7" w:rsidRPr="00EB57D7" w:rsidRDefault="00EB57D7" w:rsidP="00EB57D7">
            <w:r w:rsidRPr="00EB57D7">
              <w:rPr>
                <w:b/>
                <w:bCs/>
              </w:rPr>
              <w:t>Tuition Payment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5F24E" w14:textId="77777777" w:rsidR="00EB57D7" w:rsidRPr="00EB57D7" w:rsidRDefault="00EB57D7" w:rsidP="00EB57D7">
            <w:r w:rsidRPr="00EB57D7">
              <w:t>Searchable university directory, direct billing system integrations, and verified payment confirmation receipts.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D8BC8" w14:textId="77777777" w:rsidR="00EB57D7" w:rsidRPr="00EB57D7" w:rsidRDefault="00EB57D7" w:rsidP="00EB57D7">
            <w:r w:rsidRPr="00EB57D7">
              <w:t>Facilitates low-fee, verified institutional payments directly from the app, avoiding unpredictable institutional fees.</w:t>
            </w:r>
          </w:p>
        </w:tc>
      </w:tr>
      <w:tr w:rsidR="00EB57D7" w:rsidRPr="00EB57D7" w14:paraId="5B0BE2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148C5" w14:textId="77777777" w:rsidR="00EB57D7" w:rsidRPr="00EB57D7" w:rsidRDefault="00EB57D7" w:rsidP="00EB57D7">
            <w:r w:rsidRPr="00EB57D7">
              <w:rPr>
                <w:b/>
                <w:bCs/>
              </w:rPr>
              <w:t>Credit Tracker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15859" w14:textId="77777777" w:rsidR="00EB57D7" w:rsidRPr="00EB57D7" w:rsidRDefault="00EB57D7" w:rsidP="00EB57D7">
            <w:r w:rsidRPr="00EB57D7">
              <w:t>Circular progress rings, secured credit milestones, and micro-lending eligibility indicators.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743AC" w14:textId="77777777" w:rsidR="00EB57D7" w:rsidRPr="00EB57D7" w:rsidRDefault="00EB57D7" w:rsidP="00EB57D7">
            <w:r w:rsidRPr="00EB57D7">
              <w:t>Translates a specialized secured credit feature into a highly visual, gamified experience to help students establish a financial footprint from day one.</w:t>
            </w:r>
          </w:p>
        </w:tc>
      </w:tr>
      <w:tr w:rsidR="00EB57D7" w:rsidRPr="00EB57D7" w14:paraId="545140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1614B" w14:textId="77777777" w:rsidR="00EB57D7" w:rsidRPr="00EB57D7" w:rsidRDefault="00EB57D7" w:rsidP="00EB57D7">
            <w:r w:rsidRPr="00EB57D7">
              <w:rPr>
                <w:b/>
                <w:bCs/>
              </w:rPr>
              <w:t>Transaction Rails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E5EE0" w14:textId="77777777" w:rsidR="00EB57D7" w:rsidRPr="00EB57D7" w:rsidRDefault="00EB57D7" w:rsidP="00EB57D7">
            <w:r w:rsidRPr="00EB57D7">
              <w:t>Step-by-step payment wizards detailing low-cost, transparent cross-border money transfers.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A8F1F" w14:textId="77777777" w:rsidR="00EB57D7" w:rsidRPr="00EB57D7" w:rsidRDefault="00EB57D7" w:rsidP="00EB57D7">
            <w:r w:rsidRPr="00EB57D7">
              <w:t>Provides a streamlined payment rail that clearly breaks down fees versus actual transfer amounts, protecting student funds from being drained before arrival.</w:t>
            </w:r>
          </w:p>
        </w:tc>
      </w:tr>
    </w:tbl>
    <w:p w14:paraId="4C1B971E" w14:textId="77777777" w:rsidR="00EB57D7" w:rsidRPr="00EB57D7" w:rsidRDefault="00EB57D7" w:rsidP="00EB57D7">
      <w:pPr>
        <w:rPr>
          <w:b/>
          <w:bCs/>
        </w:rPr>
      </w:pPr>
      <w:r w:rsidRPr="00EB57D7">
        <w:rPr>
          <w:b/>
          <w:bCs/>
        </w:rPr>
        <w:t>Neo-Banking Interface Improvements</w:t>
      </w:r>
    </w:p>
    <w:p w14:paraId="598143FF" w14:textId="77777777" w:rsidR="00EB57D7" w:rsidRPr="00EB57D7" w:rsidRDefault="00EB57D7" w:rsidP="00EB57D7">
      <w:r w:rsidRPr="00EB57D7">
        <w:t>Traditional banking apps fail to serve this demographic adequately. This design improves upon legacy systems by implementing specific neo-banking methodologies:</w:t>
      </w:r>
    </w:p>
    <w:p w14:paraId="4F1A6F45" w14:textId="77777777" w:rsidR="00EB57D7" w:rsidRPr="00EB57D7" w:rsidRDefault="00EB57D7" w:rsidP="00EB57D7">
      <w:pPr>
        <w:numPr>
          <w:ilvl w:val="0"/>
          <w:numId w:val="4"/>
        </w:numPr>
      </w:pPr>
      <w:r w:rsidRPr="00EB57D7">
        <w:rPr>
          <w:b/>
          <w:bCs/>
        </w:rPr>
        <w:lastRenderedPageBreak/>
        <w:t>Unified Ecosystem vs. Fragmentation:</w:t>
      </w:r>
      <w:r w:rsidRPr="00EB57D7">
        <w:t xml:space="preserve"> Instead of forcing the user into separate apps for wire transfers, local banking, and credit monitoring, all features are centralized into a single bottom-tab navigation structure.</w:t>
      </w:r>
    </w:p>
    <w:p w14:paraId="442B778B" w14:textId="77777777" w:rsidR="00EB57D7" w:rsidRPr="00EB57D7" w:rsidRDefault="00EB57D7" w:rsidP="00EB57D7">
      <w:pPr>
        <w:numPr>
          <w:ilvl w:val="0"/>
          <w:numId w:val="4"/>
        </w:numPr>
      </w:pPr>
      <w:r w:rsidRPr="00EB57D7">
        <w:rPr>
          <w:b/>
          <w:bCs/>
        </w:rPr>
        <w:t>Contextual Financial Education:</w:t>
      </w:r>
      <w:r w:rsidRPr="00EB57D7">
        <w:t xml:space="preserve"> Because a lack of local credit history makes securing housing or utility rates extraordinarily difficult, the UI incorporates contextual tooltips that educate the user on how specific actions (like paying tuition on time) directly impact their local credit score.</w:t>
      </w:r>
    </w:p>
    <w:p w14:paraId="5295E24B" w14:textId="77777777" w:rsidR="00EB57D7" w:rsidRPr="00EB57D7" w:rsidRDefault="00EB57D7" w:rsidP="00EB57D7">
      <w:pPr>
        <w:numPr>
          <w:ilvl w:val="0"/>
          <w:numId w:val="4"/>
        </w:numPr>
      </w:pPr>
      <w:r w:rsidRPr="00EB57D7">
        <w:rPr>
          <w:b/>
          <w:bCs/>
        </w:rPr>
        <w:t>Frictionless Authentication:</w:t>
      </w:r>
      <w:r w:rsidRPr="00EB57D7">
        <w:t xml:space="preserve"> Leveraging modern authentication systems, biometric logins replace cumbersome traditional banking passwords, seamlessly supporting the underlying permission-tier implementation while reducing drop-off rates during cross-border transactions.</w:t>
      </w:r>
    </w:p>
    <w:p w14:paraId="10B43EE3" w14:textId="77777777" w:rsidR="008A2C08" w:rsidRDefault="008A2C08"/>
    <w:sectPr w:rsidR="008A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34779"/>
    <w:multiLevelType w:val="multilevel"/>
    <w:tmpl w:val="73D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A23DA"/>
    <w:multiLevelType w:val="multilevel"/>
    <w:tmpl w:val="261C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B2B8B"/>
    <w:multiLevelType w:val="multilevel"/>
    <w:tmpl w:val="6FC4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15C5F"/>
    <w:multiLevelType w:val="multilevel"/>
    <w:tmpl w:val="FABA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182654">
    <w:abstractNumId w:val="2"/>
  </w:num>
  <w:num w:numId="2" w16cid:durableId="337389934">
    <w:abstractNumId w:val="1"/>
  </w:num>
  <w:num w:numId="3" w16cid:durableId="1971324515">
    <w:abstractNumId w:val="0"/>
  </w:num>
  <w:num w:numId="4" w16cid:durableId="1817142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7D7"/>
    <w:rsid w:val="00001F1E"/>
    <w:rsid w:val="00640163"/>
    <w:rsid w:val="00706463"/>
    <w:rsid w:val="00731CB9"/>
    <w:rsid w:val="008A2C08"/>
    <w:rsid w:val="00EB57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FA553"/>
  <w15:chartTrackingRefBased/>
  <w15:docId w15:val="{2BB75C8B-0F87-493C-BE68-6E5C234D1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7D7"/>
    <w:rPr>
      <w:rFonts w:eastAsiaTheme="majorEastAsia" w:cstheme="majorBidi"/>
      <w:color w:val="272727" w:themeColor="text1" w:themeTint="D8"/>
    </w:rPr>
  </w:style>
  <w:style w:type="paragraph" w:styleId="Title">
    <w:name w:val="Title"/>
    <w:basedOn w:val="Normal"/>
    <w:next w:val="Normal"/>
    <w:link w:val="TitleChar"/>
    <w:uiPriority w:val="10"/>
    <w:qFormat/>
    <w:rsid w:val="00EB5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7D7"/>
    <w:pPr>
      <w:spacing w:before="160"/>
      <w:jc w:val="center"/>
    </w:pPr>
    <w:rPr>
      <w:i/>
      <w:iCs/>
      <w:color w:val="404040" w:themeColor="text1" w:themeTint="BF"/>
    </w:rPr>
  </w:style>
  <w:style w:type="character" w:customStyle="1" w:styleId="QuoteChar">
    <w:name w:val="Quote Char"/>
    <w:basedOn w:val="DefaultParagraphFont"/>
    <w:link w:val="Quote"/>
    <w:uiPriority w:val="29"/>
    <w:rsid w:val="00EB57D7"/>
    <w:rPr>
      <w:i/>
      <w:iCs/>
      <w:color w:val="404040" w:themeColor="text1" w:themeTint="BF"/>
    </w:rPr>
  </w:style>
  <w:style w:type="paragraph" w:styleId="ListParagraph">
    <w:name w:val="List Paragraph"/>
    <w:basedOn w:val="Normal"/>
    <w:uiPriority w:val="34"/>
    <w:qFormat/>
    <w:rsid w:val="00EB57D7"/>
    <w:pPr>
      <w:ind w:left="720"/>
      <w:contextualSpacing/>
    </w:pPr>
  </w:style>
  <w:style w:type="character" w:styleId="IntenseEmphasis">
    <w:name w:val="Intense Emphasis"/>
    <w:basedOn w:val="DefaultParagraphFont"/>
    <w:uiPriority w:val="21"/>
    <w:qFormat/>
    <w:rsid w:val="00EB57D7"/>
    <w:rPr>
      <w:i/>
      <w:iCs/>
      <w:color w:val="2F5496" w:themeColor="accent1" w:themeShade="BF"/>
    </w:rPr>
  </w:style>
  <w:style w:type="paragraph" w:styleId="IntenseQuote">
    <w:name w:val="Intense Quote"/>
    <w:basedOn w:val="Normal"/>
    <w:next w:val="Normal"/>
    <w:link w:val="IntenseQuoteChar"/>
    <w:uiPriority w:val="30"/>
    <w:qFormat/>
    <w:rsid w:val="00EB5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7D7"/>
    <w:rPr>
      <w:i/>
      <w:iCs/>
      <w:color w:val="2F5496" w:themeColor="accent1" w:themeShade="BF"/>
    </w:rPr>
  </w:style>
  <w:style w:type="character" w:styleId="IntenseReference">
    <w:name w:val="Intense Reference"/>
    <w:basedOn w:val="DefaultParagraphFont"/>
    <w:uiPriority w:val="32"/>
    <w:qFormat/>
    <w:rsid w:val="00EB57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2026-10-10T10:31:00Z</dcterms:created>
  <dcterms:modified xsi:type="dcterms:W3CDTF">2026-10-10T10:34:00Z</dcterms:modified>
</cp:coreProperties>
</file>