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850" w14:textId="77777777" w:rsidR="00D94999" w:rsidRPr="00D94999" w:rsidRDefault="00D94999" w:rsidP="00D94999">
      <w:pPr>
        <w:rPr>
          <w:b/>
          <w:bCs/>
        </w:rPr>
      </w:pPr>
      <w:r w:rsidRPr="00D94999">
        <w:rPr>
          <w:b/>
          <w:bCs/>
        </w:rPr>
        <w:t>UI/UX Design Document: Cloud-Native Three-Tier Web Application</w:t>
      </w:r>
    </w:p>
    <w:p w14:paraId="5E5FCF45" w14:textId="77777777" w:rsidR="00D94999" w:rsidRPr="00D94999" w:rsidRDefault="00D94999" w:rsidP="00D94999">
      <w:r w:rsidRPr="00D94999">
        <w:rPr>
          <w:b/>
          <w:bCs/>
        </w:rPr>
        <w:t>Target Architecture:</w:t>
      </w:r>
      <w:r w:rsidRPr="00D94999">
        <w:t xml:space="preserve"> React Single Page Application (SPA) on Amazon S3 / CloudFront</w:t>
      </w:r>
    </w:p>
    <w:p w14:paraId="1C9F6DB9" w14:textId="77777777" w:rsidR="00D94999" w:rsidRPr="00D94999" w:rsidRDefault="00D94999" w:rsidP="00D94999">
      <w:pPr>
        <w:rPr>
          <w:b/>
          <w:bCs/>
        </w:rPr>
      </w:pPr>
      <w:r w:rsidRPr="00D94999">
        <w:rPr>
          <w:b/>
          <w:bCs/>
        </w:rPr>
        <w:t>1. Visual Identity &amp; Design System</w:t>
      </w:r>
    </w:p>
    <w:p w14:paraId="2B411C03" w14:textId="77777777" w:rsidR="00D94999" w:rsidRPr="00D94999" w:rsidRDefault="00D94999" w:rsidP="00D94999">
      <w:r w:rsidRPr="00D94999">
        <w:t xml:space="preserve">Drawing inspiration from </w:t>
      </w:r>
      <w:proofErr w:type="spellStart"/>
      <w:r w:rsidRPr="00D94999">
        <w:t>Shakuro’s</w:t>
      </w:r>
      <w:proofErr w:type="spellEnd"/>
      <w:r w:rsidRPr="00D94999">
        <w:t xml:space="preserve"> digital agency aesthetic, the design language focuses on an architectural, ultra-clean interface. It balances high-performance minimalism with engaging micro-interactions, prioritizing data density without visual clutter.</w:t>
      </w:r>
    </w:p>
    <w:p w14:paraId="7BDC75B4" w14:textId="77777777" w:rsidR="00D94999" w:rsidRPr="00D94999" w:rsidRDefault="00D94999" w:rsidP="00D94999">
      <w:r w:rsidRPr="00D94999">
        <w:rPr>
          <w:b/>
          <w:bCs/>
        </w:rPr>
        <w:t>1.1 Color Palette</w:t>
      </w:r>
      <w:r w:rsidRPr="00D94999">
        <w:t xml:space="preserve"> The palette utilizes a high-contrast "dark mode by default" theme to reduce eye strain for B2B dashboards, accented by vibrant interactive states.</w:t>
      </w:r>
    </w:p>
    <w:p w14:paraId="539C79B1" w14:textId="77777777" w:rsidR="00D94999" w:rsidRPr="00D94999" w:rsidRDefault="00D94999" w:rsidP="00D94999">
      <w:pPr>
        <w:numPr>
          <w:ilvl w:val="0"/>
          <w:numId w:val="1"/>
        </w:numPr>
      </w:pPr>
      <w:r w:rsidRPr="00D94999">
        <w:rPr>
          <w:b/>
          <w:bCs/>
        </w:rPr>
        <w:t>Background (Primary):</w:t>
      </w:r>
      <w:r w:rsidRPr="00D94999">
        <w:t xml:space="preserve"> #09090B (Deep Onyx) – Serves as the stark, immersive background for the main canvas.</w:t>
      </w:r>
    </w:p>
    <w:p w14:paraId="34F56C85" w14:textId="77777777" w:rsidR="00D94999" w:rsidRPr="00D94999" w:rsidRDefault="00D94999" w:rsidP="00D94999">
      <w:pPr>
        <w:numPr>
          <w:ilvl w:val="0"/>
          <w:numId w:val="1"/>
        </w:numPr>
      </w:pPr>
      <w:r w:rsidRPr="00D94999">
        <w:rPr>
          <w:b/>
          <w:bCs/>
        </w:rPr>
        <w:t>Surface (Secondary):</w:t>
      </w:r>
      <w:r w:rsidRPr="00D94999">
        <w:t xml:space="preserve"> #18181B (Charcoal) – Used for cards, modals, and elevated containers.</w:t>
      </w:r>
    </w:p>
    <w:p w14:paraId="4650EF66" w14:textId="77777777" w:rsidR="00D94999" w:rsidRPr="00D94999" w:rsidRDefault="00D94999" w:rsidP="00D94999">
      <w:pPr>
        <w:numPr>
          <w:ilvl w:val="0"/>
          <w:numId w:val="1"/>
        </w:numPr>
      </w:pPr>
      <w:r w:rsidRPr="00D94999">
        <w:rPr>
          <w:b/>
          <w:bCs/>
        </w:rPr>
        <w:t>Borders &amp; Dividers:</w:t>
      </w:r>
      <w:r w:rsidRPr="00D94999">
        <w:t xml:space="preserve"> #27272A (Subtle Zinc) – Defines component boundaries without competing for attention.</w:t>
      </w:r>
    </w:p>
    <w:p w14:paraId="29FD0807" w14:textId="77777777" w:rsidR="00D94999" w:rsidRPr="00D94999" w:rsidRDefault="00D94999" w:rsidP="00D94999">
      <w:pPr>
        <w:numPr>
          <w:ilvl w:val="0"/>
          <w:numId w:val="1"/>
        </w:numPr>
      </w:pPr>
      <w:r w:rsidRPr="00D94999">
        <w:rPr>
          <w:b/>
          <w:bCs/>
        </w:rPr>
        <w:t>Primary Text:</w:t>
      </w:r>
      <w:r w:rsidRPr="00D94999">
        <w:t xml:space="preserve"> #FAFAFA (Off-White) – Maximum readability for headers and active data.</w:t>
      </w:r>
    </w:p>
    <w:p w14:paraId="6B29C490" w14:textId="77777777" w:rsidR="00D94999" w:rsidRPr="00D94999" w:rsidRDefault="00D94999" w:rsidP="00D94999">
      <w:pPr>
        <w:numPr>
          <w:ilvl w:val="0"/>
          <w:numId w:val="1"/>
        </w:numPr>
      </w:pPr>
      <w:r w:rsidRPr="00D94999">
        <w:rPr>
          <w:b/>
          <w:bCs/>
        </w:rPr>
        <w:t>Secondary/Muted Text:</w:t>
      </w:r>
      <w:r w:rsidRPr="00D94999">
        <w:t xml:space="preserve"> #A1A1AA (Cool Grey) – Used for metadata, placeholders, and disabled states.</w:t>
      </w:r>
    </w:p>
    <w:p w14:paraId="3C66C837" w14:textId="77777777" w:rsidR="00D94999" w:rsidRPr="00D94999" w:rsidRDefault="00D94999" w:rsidP="00D94999">
      <w:pPr>
        <w:numPr>
          <w:ilvl w:val="0"/>
          <w:numId w:val="1"/>
        </w:numPr>
      </w:pPr>
      <w:r w:rsidRPr="00D94999">
        <w:rPr>
          <w:b/>
          <w:bCs/>
        </w:rPr>
        <w:t>Primary Accent:</w:t>
      </w:r>
      <w:r w:rsidRPr="00D94999">
        <w:t xml:space="preserve"> #4F46E5 (Electric Indigo) – Drives the primary call-to-actions (CTAs), active navigation states, and focus rings.</w:t>
      </w:r>
    </w:p>
    <w:p w14:paraId="4E1BC237" w14:textId="77777777" w:rsidR="00D94999" w:rsidRPr="00D94999" w:rsidRDefault="00D94999" w:rsidP="00D94999">
      <w:pPr>
        <w:numPr>
          <w:ilvl w:val="0"/>
          <w:numId w:val="1"/>
        </w:numPr>
      </w:pPr>
      <w:r w:rsidRPr="00D94999">
        <w:rPr>
          <w:b/>
          <w:bCs/>
        </w:rPr>
        <w:t>Success/Error States:</w:t>
      </w:r>
      <w:r w:rsidRPr="00D94999">
        <w:t xml:space="preserve"> #10B981 (Emerald) for successful API mutations, #EF4444 (Rose) for destructive actions or validation errors.</w:t>
      </w:r>
    </w:p>
    <w:p w14:paraId="19F6A8D3" w14:textId="77777777" w:rsidR="00D94999" w:rsidRPr="00D94999" w:rsidRDefault="00D94999" w:rsidP="00D94999">
      <w:r w:rsidRPr="00D94999">
        <w:rPr>
          <w:b/>
          <w:bCs/>
        </w:rPr>
        <w:t>1.2 Typography</w:t>
      </w:r>
      <w:r w:rsidRPr="00D94999">
        <w:t xml:space="preserve"> Following </w:t>
      </w:r>
      <w:proofErr w:type="spellStart"/>
      <w:r w:rsidRPr="00D94999">
        <w:t>Shakuro's</w:t>
      </w:r>
      <w:proofErr w:type="spellEnd"/>
      <w:r w:rsidRPr="00D94999">
        <w:t xml:space="preserve"> approach to web typography, the system pairs an expressive display font for marketing/headers with a hyper-readable neo-grotesque font for UI components and data density.</w:t>
      </w:r>
    </w:p>
    <w:p w14:paraId="26B76F42" w14:textId="77777777" w:rsidR="00D94999" w:rsidRPr="00D94999" w:rsidRDefault="00D94999" w:rsidP="00D94999">
      <w:pPr>
        <w:numPr>
          <w:ilvl w:val="0"/>
          <w:numId w:val="2"/>
        </w:numPr>
      </w:pPr>
      <w:r w:rsidRPr="00D94999">
        <w:rPr>
          <w:b/>
          <w:bCs/>
        </w:rPr>
        <w:t>Display Font (Headings):</w:t>
      </w:r>
      <w:r w:rsidRPr="00D94999">
        <w:t xml:space="preserve"> </w:t>
      </w:r>
      <w:r w:rsidRPr="00D94999">
        <w:rPr>
          <w:i/>
          <w:iCs/>
        </w:rPr>
        <w:t>Geist</w:t>
      </w:r>
      <w:r w:rsidRPr="00D94999">
        <w:t xml:space="preserve"> or </w:t>
      </w:r>
      <w:r w:rsidRPr="00D94999">
        <w:rPr>
          <w:i/>
          <w:iCs/>
        </w:rPr>
        <w:t>Clash Display</w:t>
      </w:r>
      <w:r w:rsidRPr="00D94999">
        <w:t>. Used strictly for H1/H2 page titles and onboarding screens. Font weights: Semi-Bold (600) to Bold (700).</w:t>
      </w:r>
    </w:p>
    <w:p w14:paraId="66341130" w14:textId="77777777" w:rsidR="00D94999" w:rsidRPr="00D94999" w:rsidRDefault="00D94999" w:rsidP="00D94999">
      <w:pPr>
        <w:numPr>
          <w:ilvl w:val="0"/>
          <w:numId w:val="2"/>
        </w:numPr>
      </w:pPr>
      <w:r w:rsidRPr="00D94999">
        <w:rPr>
          <w:b/>
          <w:bCs/>
        </w:rPr>
        <w:t>Functional UI Font (Body, Tables, Inputs):</w:t>
      </w:r>
      <w:r w:rsidRPr="00D94999">
        <w:t xml:space="preserve"> </w:t>
      </w:r>
      <w:r w:rsidRPr="00D94999">
        <w:rPr>
          <w:i/>
          <w:iCs/>
        </w:rPr>
        <w:t>Inter</w:t>
      </w:r>
      <w:r w:rsidRPr="00D94999">
        <w:t xml:space="preserve"> or </w:t>
      </w:r>
      <w:r w:rsidRPr="00D94999">
        <w:rPr>
          <w:i/>
          <w:iCs/>
        </w:rPr>
        <w:t>Manrope</w:t>
      </w:r>
      <w:r w:rsidRPr="00D94999">
        <w:t>. Highly legible at small sizes (12px - 14px). Font weights: Regular (400) for body, Medium (500) for labels/buttons.</w:t>
      </w:r>
    </w:p>
    <w:p w14:paraId="768452F3" w14:textId="77777777" w:rsidR="00D94999" w:rsidRPr="00D94999" w:rsidRDefault="00D94999" w:rsidP="00D94999">
      <w:pPr>
        <w:numPr>
          <w:ilvl w:val="0"/>
          <w:numId w:val="2"/>
        </w:numPr>
      </w:pPr>
      <w:r w:rsidRPr="00D94999">
        <w:rPr>
          <w:b/>
          <w:bCs/>
        </w:rPr>
        <w:t>Monospace Font (Code/Logs):</w:t>
      </w:r>
      <w:r w:rsidRPr="00D94999">
        <w:t xml:space="preserve"> </w:t>
      </w:r>
      <w:r w:rsidRPr="00D94999">
        <w:rPr>
          <w:i/>
          <w:iCs/>
        </w:rPr>
        <w:t>JetBrains Mono</w:t>
      </w:r>
      <w:r w:rsidRPr="00D94999">
        <w:t>. Used for displaying backend API responses, JWT tokens, or developer settings.</w:t>
      </w:r>
    </w:p>
    <w:p w14:paraId="4D6F1F6D" w14:textId="77777777" w:rsidR="00D94999" w:rsidRPr="00D94999" w:rsidRDefault="00D94999" w:rsidP="00D94999">
      <w:pPr>
        <w:rPr>
          <w:b/>
          <w:bCs/>
        </w:rPr>
      </w:pPr>
      <w:r w:rsidRPr="00D94999">
        <w:rPr>
          <w:b/>
          <w:bCs/>
        </w:rPr>
        <w:lastRenderedPageBreak/>
        <w:t>2. Component Structure</w:t>
      </w:r>
    </w:p>
    <w:p w14:paraId="3B1568D9" w14:textId="77777777" w:rsidR="00D94999" w:rsidRPr="00D94999" w:rsidRDefault="00D94999" w:rsidP="00D94999">
      <w:r w:rsidRPr="00D94999">
        <w:t>The application requires modular components capable of handling dynamic JSON responses from the serverless API.</w:t>
      </w:r>
    </w:p>
    <w:p w14:paraId="3F6414EA" w14:textId="77777777" w:rsidR="00D94999" w:rsidRPr="00D94999" w:rsidRDefault="00D94999" w:rsidP="00D94999">
      <w:pPr>
        <w:numPr>
          <w:ilvl w:val="0"/>
          <w:numId w:val="3"/>
        </w:numPr>
      </w:pPr>
      <w:r w:rsidRPr="00D94999">
        <w:rPr>
          <w:b/>
          <w:bCs/>
        </w:rPr>
        <w:t>Navigation (Sidebar):</w:t>
      </w:r>
      <w:r w:rsidRPr="00D94999">
        <w:t xml:space="preserve"> A fixed left-hand sidebar containing top-level routing. Includes a user profile anchor at the bottom that integrates with the Better Auth session state to display the current logged-in user and a logout trigger.</w:t>
      </w:r>
    </w:p>
    <w:p w14:paraId="7D8324CE" w14:textId="77777777" w:rsidR="00D94999" w:rsidRPr="00D94999" w:rsidRDefault="00D94999" w:rsidP="00D94999">
      <w:pPr>
        <w:numPr>
          <w:ilvl w:val="0"/>
          <w:numId w:val="3"/>
        </w:numPr>
      </w:pPr>
      <w:r w:rsidRPr="00D94999">
        <w:rPr>
          <w:b/>
          <w:bCs/>
        </w:rPr>
        <w:t>Authentication Modals (Better Auth):</w:t>
      </w:r>
      <w:r w:rsidRPr="00D94999">
        <w:t xml:space="preserve"> Clean, centered overlay cards over a blurred background. Features standard email/password inputs and SSO buttons. Input fields must support clear validation states before submitting credentials to the Better Auth framework.</w:t>
      </w:r>
    </w:p>
    <w:p w14:paraId="2B27DDD6" w14:textId="77777777" w:rsidR="00D94999" w:rsidRPr="00D94999" w:rsidRDefault="00D94999" w:rsidP="00D94999">
      <w:pPr>
        <w:numPr>
          <w:ilvl w:val="0"/>
          <w:numId w:val="3"/>
        </w:numPr>
      </w:pPr>
      <w:r w:rsidRPr="00D94999">
        <w:rPr>
          <w:b/>
          <w:bCs/>
        </w:rPr>
        <w:t>Data Tables (Neon DB Output):</w:t>
      </w:r>
      <w:r w:rsidRPr="00D94999">
        <w:t xml:space="preserve"> Edge-to-edge tables housed in surface-colored cards. Features sticky headers, subtle row-hover interactions (#27272A), and paginated footers. Cell contents must handle truncation gracefully to maintain grid alignment when rendering relational entities.</w:t>
      </w:r>
    </w:p>
    <w:p w14:paraId="33761CE8" w14:textId="77777777" w:rsidR="00D94999" w:rsidRPr="00D94999" w:rsidRDefault="00D94999" w:rsidP="00D94999">
      <w:pPr>
        <w:numPr>
          <w:ilvl w:val="0"/>
          <w:numId w:val="3"/>
        </w:numPr>
      </w:pPr>
      <w:r w:rsidRPr="00D94999">
        <w:rPr>
          <w:b/>
          <w:bCs/>
        </w:rPr>
        <w:t>Action Forms:</w:t>
      </w:r>
      <w:r w:rsidRPr="00D94999">
        <w:t xml:space="preserve"> Slide-out side panels (drawers) for creating or editing data. This prevents context loss while the user references the underlying data table.</w:t>
      </w:r>
    </w:p>
    <w:p w14:paraId="553FB2AB" w14:textId="77777777" w:rsidR="00D94999" w:rsidRPr="00D94999" w:rsidRDefault="00D94999" w:rsidP="00D94999">
      <w:pPr>
        <w:rPr>
          <w:b/>
          <w:bCs/>
        </w:rPr>
      </w:pPr>
      <w:r w:rsidRPr="00D94999">
        <w:rPr>
          <w:b/>
          <w:bCs/>
        </w:rPr>
        <w:t>3. User Flow Mapping</w:t>
      </w:r>
    </w:p>
    <w:p w14:paraId="07B6216B" w14:textId="77777777" w:rsidR="00D94999" w:rsidRPr="00D94999" w:rsidRDefault="00D94999" w:rsidP="00D94999">
      <w:r w:rsidRPr="00D94999">
        <w:t>The frontend user flow must seamlessly transition between static delivery and authenticated states.</w:t>
      </w:r>
    </w:p>
    <w:p w14:paraId="712CAA6F" w14:textId="77777777" w:rsidR="00D94999" w:rsidRPr="00D94999" w:rsidRDefault="00D94999" w:rsidP="00D94999">
      <w:pPr>
        <w:numPr>
          <w:ilvl w:val="0"/>
          <w:numId w:val="4"/>
        </w:numPr>
      </w:pPr>
      <w:r w:rsidRPr="00D94999">
        <w:rPr>
          <w:b/>
          <w:bCs/>
        </w:rPr>
        <w:t>Initial Load:</w:t>
      </w:r>
      <w:r w:rsidRPr="00D94999">
        <w:t xml:space="preserve"> The client browser fetches the React SPA bundles (HTML, JS, CSS) directly from the Amazon S3 bucket via the CloudFront CDN.</w:t>
      </w:r>
    </w:p>
    <w:p w14:paraId="599356BD" w14:textId="77777777" w:rsidR="00D94999" w:rsidRPr="00D94999" w:rsidRDefault="00D94999" w:rsidP="00D94999">
      <w:pPr>
        <w:numPr>
          <w:ilvl w:val="0"/>
          <w:numId w:val="4"/>
        </w:numPr>
      </w:pPr>
      <w:r w:rsidRPr="00D94999">
        <w:rPr>
          <w:b/>
          <w:bCs/>
        </w:rPr>
        <w:t>State Initialization:</w:t>
      </w:r>
      <w:r w:rsidRPr="00D94999">
        <w:t xml:space="preserve"> The React app mounts and checks the Better Auth client library for an existing session token.</w:t>
      </w:r>
    </w:p>
    <w:p w14:paraId="04737897" w14:textId="77777777" w:rsidR="00D94999" w:rsidRPr="00D94999" w:rsidRDefault="00D94999" w:rsidP="00D94999">
      <w:pPr>
        <w:numPr>
          <w:ilvl w:val="0"/>
          <w:numId w:val="4"/>
        </w:numPr>
      </w:pPr>
      <w:r w:rsidRPr="00D94999">
        <w:rPr>
          <w:b/>
          <w:bCs/>
        </w:rPr>
        <w:t>Authentication Gate:</w:t>
      </w:r>
      <w:r w:rsidRPr="00D94999">
        <w:t xml:space="preserve"> Unauthenticated users are hard-routed to the /login view. Upon successful verification, Better Auth issues a secure session token.</w:t>
      </w:r>
    </w:p>
    <w:p w14:paraId="5CE5E9DB" w14:textId="77777777" w:rsidR="00D94999" w:rsidRPr="00D94999" w:rsidRDefault="00D94999" w:rsidP="00D94999">
      <w:pPr>
        <w:numPr>
          <w:ilvl w:val="0"/>
          <w:numId w:val="4"/>
        </w:numPr>
      </w:pPr>
      <w:r w:rsidRPr="00D94999">
        <w:rPr>
          <w:b/>
          <w:bCs/>
        </w:rPr>
        <w:t>Dashboard Navigation:</w:t>
      </w:r>
      <w:r w:rsidRPr="00D94999">
        <w:t xml:space="preserve"> The user is routed to the main dashboard. The UI renders skeleton loaders while awaiting data.</w:t>
      </w:r>
    </w:p>
    <w:p w14:paraId="7B496ED1" w14:textId="77777777" w:rsidR="00D94999" w:rsidRPr="00D94999" w:rsidRDefault="00D94999" w:rsidP="00D94999">
      <w:pPr>
        <w:numPr>
          <w:ilvl w:val="0"/>
          <w:numId w:val="4"/>
        </w:numPr>
      </w:pPr>
      <w:r w:rsidRPr="00D94999">
        <w:rPr>
          <w:b/>
          <w:bCs/>
        </w:rPr>
        <w:t>API Execution:</w:t>
      </w:r>
      <w:r w:rsidRPr="00D94999">
        <w:t xml:space="preserve"> The client SPA dispatches an HTTPS REST payload, injecting the Bearer token into the authorization headers, targeting the API Gateway.</w:t>
      </w:r>
    </w:p>
    <w:p w14:paraId="4B2D3638" w14:textId="77777777" w:rsidR="00D94999" w:rsidRPr="00D94999" w:rsidRDefault="00D94999" w:rsidP="00D94999">
      <w:pPr>
        <w:numPr>
          <w:ilvl w:val="0"/>
          <w:numId w:val="4"/>
        </w:numPr>
      </w:pPr>
      <w:r w:rsidRPr="00D94999">
        <w:rPr>
          <w:b/>
          <w:bCs/>
        </w:rPr>
        <w:t>Data Rendering:</w:t>
      </w:r>
      <w:r w:rsidRPr="00D94999">
        <w:t xml:space="preserve"> The JSON response from the Lambda/Neon DB backend is received. The React state updates, clearing the skeleton loaders and dynamically painting the data tables and charts in the client DOM.</w:t>
      </w:r>
    </w:p>
    <w:p w14:paraId="2085EA92" w14:textId="77777777" w:rsidR="00D94999" w:rsidRPr="00D94999" w:rsidRDefault="00D94999" w:rsidP="00D94999">
      <w:pPr>
        <w:rPr>
          <w:b/>
          <w:bCs/>
        </w:rPr>
      </w:pPr>
      <w:r w:rsidRPr="00D94999">
        <w:rPr>
          <w:b/>
          <w:bCs/>
        </w:rPr>
        <w:lastRenderedPageBreak/>
        <w:t>4. Practical Limitations &amp; Improvements for S3-Hosted React SPAs</w:t>
      </w:r>
    </w:p>
    <w:p w14:paraId="4C84AFEA" w14:textId="77777777" w:rsidR="00D94999" w:rsidRPr="00D94999" w:rsidRDefault="00D94999" w:rsidP="00D94999">
      <w:r w:rsidRPr="00D94999">
        <w:t>Hosting a pure React SPA on Amazon S3 presents specific constraints. Implementing the following improvements ensures the frontend matches the high-availability standards of the serverless backend.</w:t>
      </w:r>
    </w:p>
    <w:p w14:paraId="195D8BC9" w14:textId="77777777" w:rsidR="00D94999" w:rsidRPr="00D94999" w:rsidRDefault="00D94999" w:rsidP="00D94999">
      <w:pPr>
        <w:numPr>
          <w:ilvl w:val="0"/>
          <w:numId w:val="5"/>
        </w:numPr>
      </w:pPr>
      <w:r w:rsidRPr="00D94999">
        <w:rPr>
          <w:b/>
          <w:bCs/>
        </w:rPr>
        <w:t>Routing 404 Errors on Direct Navigation:</w:t>
      </w:r>
    </w:p>
    <w:p w14:paraId="34C86773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t>Limitation:</w:t>
      </w:r>
      <w:r w:rsidRPr="00D94999">
        <w:t xml:space="preserve"> Because S3 is a static file server, navigating directly to a deep link (e.g., /dashboard/users) will result in a 404 error, as S3 looks for a users.html file that does not exist.</w:t>
      </w:r>
    </w:p>
    <w:p w14:paraId="073580EB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t>Improvement:</w:t>
      </w:r>
      <w:r w:rsidRPr="00D94999">
        <w:t xml:space="preserve"> In the S3 bucket's static website hosting configuration, map both the </w:t>
      </w:r>
      <w:r w:rsidRPr="00D94999">
        <w:rPr>
          <w:b/>
          <w:bCs/>
        </w:rPr>
        <w:t>Index document</w:t>
      </w:r>
      <w:r w:rsidRPr="00D94999">
        <w:t xml:space="preserve"> and the </w:t>
      </w:r>
      <w:r w:rsidRPr="00D94999">
        <w:rPr>
          <w:b/>
          <w:bCs/>
        </w:rPr>
        <w:t>Error document</w:t>
      </w:r>
      <w:r w:rsidRPr="00D94999">
        <w:t xml:space="preserve"> to index.html. This forces S3 to return the React app for all routes, allowing React Router to take over client-side navigation.</w:t>
      </w:r>
    </w:p>
    <w:p w14:paraId="2A9F7E8E" w14:textId="77777777" w:rsidR="00D94999" w:rsidRPr="00D94999" w:rsidRDefault="00D94999" w:rsidP="00D94999">
      <w:pPr>
        <w:numPr>
          <w:ilvl w:val="0"/>
          <w:numId w:val="5"/>
        </w:numPr>
      </w:pPr>
      <w:r w:rsidRPr="00D94999">
        <w:rPr>
          <w:b/>
          <w:bCs/>
        </w:rPr>
        <w:t>Aggressive Caching and Stale Bundles:</w:t>
      </w:r>
    </w:p>
    <w:p w14:paraId="43C6D67E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t>Limitation:</w:t>
      </w:r>
      <w:r w:rsidRPr="00D94999">
        <w:t xml:space="preserve"> CloudFront caches static assets at edge locations. If caching is not configured correctly, users may see outdated versions of the application after a new deployment.</w:t>
      </w:r>
    </w:p>
    <w:p w14:paraId="3E1F6F7F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t>Improvement:</w:t>
      </w:r>
      <w:r w:rsidRPr="00D94999">
        <w:t xml:space="preserve"> Configure the CI/CD pipeline to append content hashes to all JavaScript and CSS filenames during the build process (e.g., </w:t>
      </w:r>
      <w:proofErr w:type="gramStart"/>
      <w:r w:rsidRPr="00D94999">
        <w:t>main.[</w:t>
      </w:r>
      <w:proofErr w:type="gramEnd"/>
      <w:r w:rsidRPr="00D94999">
        <w:t>hash].</w:t>
      </w:r>
      <w:proofErr w:type="spellStart"/>
      <w:r w:rsidRPr="00D94999">
        <w:t>js</w:t>
      </w:r>
      <w:proofErr w:type="spellEnd"/>
      <w:r w:rsidRPr="00D94999">
        <w:t>). Set long cache-control headers (max-age=31536000) for these hashed assets, but set index.html to no-cache. Trigger a CloudFront invalidation solely for index.html upon deployment.</w:t>
      </w:r>
    </w:p>
    <w:p w14:paraId="57053F2A" w14:textId="77777777" w:rsidR="00D94999" w:rsidRPr="00D94999" w:rsidRDefault="00D94999" w:rsidP="00D94999">
      <w:pPr>
        <w:numPr>
          <w:ilvl w:val="0"/>
          <w:numId w:val="5"/>
        </w:numPr>
      </w:pPr>
      <w:r w:rsidRPr="00D94999">
        <w:rPr>
          <w:b/>
          <w:bCs/>
        </w:rPr>
        <w:t>Environment Configuration Drift:</w:t>
      </w:r>
    </w:p>
    <w:p w14:paraId="7F551AE6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t>Limitation:</w:t>
      </w:r>
      <w:r w:rsidRPr="00D94999">
        <w:t xml:space="preserve"> A built React app cannot dynamically read AWS environment variables at runtime because the code is compiled into static JavaScript.</w:t>
      </w:r>
    </w:p>
    <w:p w14:paraId="7EF5F84A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t>Improvement:</w:t>
      </w:r>
      <w:r w:rsidRPr="00D94999">
        <w:t xml:space="preserve"> Utilize environment-aware configuration via build flags. Inject the environment-specific API Gateway URLs and Better Auth public keys into the React app during the CI/CD build phase </w:t>
      </w:r>
      <w:proofErr w:type="gramStart"/>
      <w:r w:rsidRPr="00D94999">
        <w:t>using .</w:t>
      </w:r>
      <w:proofErr w:type="spellStart"/>
      <w:r w:rsidRPr="00D94999">
        <w:t>env</w:t>
      </w:r>
      <w:proofErr w:type="gramEnd"/>
      <w:r w:rsidRPr="00D94999">
        <w:t>.production</w:t>
      </w:r>
      <w:proofErr w:type="spellEnd"/>
      <w:r w:rsidRPr="00D94999">
        <w:t xml:space="preserve"> </w:t>
      </w:r>
      <w:proofErr w:type="gramStart"/>
      <w:r w:rsidRPr="00D94999">
        <w:t>or .</w:t>
      </w:r>
      <w:proofErr w:type="spellStart"/>
      <w:r w:rsidRPr="00D94999">
        <w:t>env</w:t>
      </w:r>
      <w:proofErr w:type="gramEnd"/>
      <w:r w:rsidRPr="00D94999">
        <w:t>.development</w:t>
      </w:r>
      <w:proofErr w:type="spellEnd"/>
      <w:r w:rsidRPr="00D94999">
        <w:t xml:space="preserve"> files.</w:t>
      </w:r>
    </w:p>
    <w:p w14:paraId="3D433022" w14:textId="77777777" w:rsidR="00D94999" w:rsidRPr="00D94999" w:rsidRDefault="00D94999" w:rsidP="00D94999">
      <w:pPr>
        <w:numPr>
          <w:ilvl w:val="0"/>
          <w:numId w:val="5"/>
        </w:numPr>
      </w:pPr>
      <w:r w:rsidRPr="00D94999">
        <w:rPr>
          <w:b/>
          <w:bCs/>
        </w:rPr>
        <w:t>SEO and Social Previews:</w:t>
      </w:r>
    </w:p>
    <w:p w14:paraId="559A6EED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t>Limitation:</w:t>
      </w:r>
      <w:r w:rsidRPr="00D94999">
        <w:t xml:space="preserve"> Pure client-side rendered SPAs struggle with search engine indexing and generating dynamic Open Graph tags for social media sharing.</w:t>
      </w:r>
    </w:p>
    <w:p w14:paraId="209E6D7D" w14:textId="77777777" w:rsidR="00D94999" w:rsidRPr="00D94999" w:rsidRDefault="00D94999" w:rsidP="00D94999">
      <w:pPr>
        <w:numPr>
          <w:ilvl w:val="1"/>
          <w:numId w:val="5"/>
        </w:numPr>
      </w:pPr>
      <w:r w:rsidRPr="00D94999">
        <w:rPr>
          <w:i/>
          <w:iCs/>
        </w:rPr>
        <w:lastRenderedPageBreak/>
        <w:t>Improvement:</w:t>
      </w:r>
      <w:r w:rsidRPr="00D94999">
        <w:t xml:space="preserve"> If the application is strictly a private B2B dashboard behind an auth wall, this limitation is negligible. However, if public-facing pages exist, consider implementing a lightweight Edge computing function (CloudFront Functions or </w:t>
      </w:r>
      <w:proofErr w:type="spellStart"/>
      <w:r w:rsidRPr="00D94999">
        <w:t>Lambda@Edge</w:t>
      </w:r>
      <w:proofErr w:type="spellEnd"/>
      <w:r w:rsidRPr="00D94999">
        <w:t>) to intercept bot requests and inject pre-rendered meta tags before delivering the S3 payload.</w:t>
      </w:r>
    </w:p>
    <w:p w14:paraId="4E6C7972" w14:textId="77777777" w:rsidR="008A2C08" w:rsidRDefault="008A2C08"/>
    <w:sectPr w:rsidR="008A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66A4C"/>
    <w:multiLevelType w:val="multilevel"/>
    <w:tmpl w:val="59DE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C07EF"/>
    <w:multiLevelType w:val="multilevel"/>
    <w:tmpl w:val="1DF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D02BF"/>
    <w:multiLevelType w:val="multilevel"/>
    <w:tmpl w:val="F9C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E5E0C"/>
    <w:multiLevelType w:val="multilevel"/>
    <w:tmpl w:val="7EE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94DB0"/>
    <w:multiLevelType w:val="multilevel"/>
    <w:tmpl w:val="3CC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47394">
    <w:abstractNumId w:val="3"/>
  </w:num>
  <w:num w:numId="2" w16cid:durableId="1816338459">
    <w:abstractNumId w:val="1"/>
  </w:num>
  <w:num w:numId="3" w16cid:durableId="1670404639">
    <w:abstractNumId w:val="2"/>
  </w:num>
  <w:num w:numId="4" w16cid:durableId="1226145719">
    <w:abstractNumId w:val="0"/>
  </w:num>
  <w:num w:numId="5" w16cid:durableId="570963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99"/>
    <w:rsid w:val="00001F1E"/>
    <w:rsid w:val="00706463"/>
    <w:rsid w:val="00731CB9"/>
    <w:rsid w:val="008A2C08"/>
    <w:rsid w:val="00D57463"/>
    <w:rsid w:val="00D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DAE0"/>
  <w15:chartTrackingRefBased/>
  <w15:docId w15:val="{859461A0-2765-4126-9AF3-05933C15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2026-10-12T17:19:00Z</dcterms:created>
  <dcterms:modified xsi:type="dcterms:W3CDTF">2026-10-12T17:19:00Z</dcterms:modified>
</cp:coreProperties>
</file>