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9E511" w14:textId="5B77F57C" w:rsidR="003A2847" w:rsidRDefault="00BE2EAE">
      <w:r>
        <w:rPr>
          <w:noProof/>
        </w:rPr>
        <w:drawing>
          <wp:inline distT="0" distB="0" distL="0" distR="0" wp14:anchorId="7C8A1643" wp14:editId="5B713F81">
            <wp:extent cx="3780000" cy="2636520"/>
            <wp:effectExtent l="0" t="0" r="1143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4117655" w14:textId="21A9B479" w:rsidR="00BE2EAE" w:rsidRDefault="00BE2EAE"/>
    <w:p w14:paraId="067D55E9" w14:textId="2939E735" w:rsidR="00BE2EAE" w:rsidRDefault="00BE2EAE">
      <w:r>
        <w:rPr>
          <w:noProof/>
        </w:rPr>
        <w:drawing>
          <wp:inline distT="0" distB="0" distL="0" distR="0" wp14:anchorId="2D6797D3" wp14:editId="77D5BE19">
            <wp:extent cx="3780000" cy="2636520"/>
            <wp:effectExtent l="0" t="0" r="11430" b="1143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C248FB3" w14:textId="4CCA5B3A" w:rsidR="00BE2EAE" w:rsidRDefault="00AC54AC">
      <w:r>
        <w:t>Figure 1: pie charts…</w:t>
      </w:r>
    </w:p>
    <w:p w14:paraId="0A1AA9CC" w14:textId="3BF0B5E6" w:rsidR="00AC54AC" w:rsidRDefault="00AC54AC"/>
    <w:p w14:paraId="1C7F1AA3" w14:textId="42E0C132" w:rsidR="00AC54AC" w:rsidRDefault="00AC54AC">
      <w:r>
        <w:t xml:space="preserve">Figure 2: histogram of host range. “Can this be broken down into functional </w:t>
      </w:r>
      <w:proofErr w:type="gramStart"/>
      <w:r>
        <w:t>groups”</w:t>
      </w:r>
      <w:proofErr w:type="gramEnd"/>
    </w:p>
    <w:tbl>
      <w:tblPr>
        <w:tblStyle w:val="TableGrid"/>
        <w:tblW w:w="92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C431D2" w14:paraId="3233F4A6" w14:textId="77777777" w:rsidTr="00F84893">
        <w:tc>
          <w:tcPr>
            <w:tcW w:w="9228" w:type="dxa"/>
          </w:tcPr>
          <w:p w14:paraId="45CE7C14" w14:textId="77777777" w:rsidR="00C431D2" w:rsidRDefault="00C431D2" w:rsidP="00F84893">
            <w:commentRangeStart w:id="0"/>
            <w:r>
              <w:lastRenderedPageBreak/>
              <w:t>(a)</w:t>
            </w:r>
            <w:r>
              <w:rPr>
                <w:noProof/>
                <w:lang w:eastAsia="en-NZ"/>
              </w:rPr>
              <w:drawing>
                <wp:inline distT="0" distB="0" distL="0" distR="0" wp14:anchorId="59119813" wp14:editId="130405A5">
                  <wp:extent cx="5760000" cy="3597124"/>
                  <wp:effectExtent l="0" t="0" r="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00" cy="35971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0"/>
            <w:r w:rsidR="00AC54AC">
              <w:rPr>
                <w:rStyle w:val="CommentReference"/>
              </w:rPr>
              <w:commentReference w:id="0"/>
            </w:r>
          </w:p>
          <w:p w14:paraId="1D7ADE11" w14:textId="77777777" w:rsidR="00C431D2" w:rsidRDefault="00C431D2" w:rsidP="00F84893">
            <w:r>
              <w:t>(b)</w:t>
            </w:r>
          </w:p>
          <w:p w14:paraId="0DA5F1A5" w14:textId="77777777" w:rsidR="00C431D2" w:rsidRDefault="00C431D2" w:rsidP="00F84893">
            <w:r>
              <w:rPr>
                <w:noProof/>
                <w:lang w:eastAsia="en-NZ"/>
              </w:rPr>
              <w:drawing>
                <wp:inline distT="0" distB="0" distL="0" distR="0" wp14:anchorId="1C593E45" wp14:editId="26B6A0CE">
                  <wp:extent cx="5722620" cy="35737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357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1D2" w14:paraId="622C504D" w14:textId="77777777" w:rsidTr="00F84893">
        <w:tc>
          <w:tcPr>
            <w:tcW w:w="9228" w:type="dxa"/>
          </w:tcPr>
          <w:p w14:paraId="0E3D5681" w14:textId="02C047A1" w:rsidR="00C431D2" w:rsidRDefault="00C431D2" w:rsidP="00F84893">
            <w:r>
              <w:lastRenderedPageBreak/>
              <w:t>Figure 3: Measured values of (a) t</w:t>
            </w:r>
            <w:r w:rsidRPr="00881E61">
              <w:t xml:space="preserve">axonomic </w:t>
            </w:r>
            <w:r>
              <w:t>distinctness</w:t>
            </w:r>
            <w:r w:rsidRPr="00881E61">
              <w:t xml:space="preserve"> </w:t>
            </w:r>
            <w:r>
              <w:t>(</w:t>
            </w:r>
            <w:r w:rsidRPr="00881E61">
              <w:t>∆+</w:t>
            </w:r>
            <w:r>
              <w:t xml:space="preserve">) and (b) variance in taxonomic </w:t>
            </w:r>
            <w:proofErr w:type="spellStart"/>
            <w:r>
              <w:t>distincness</w:t>
            </w:r>
            <w:proofErr w:type="spellEnd"/>
            <w:r>
              <w:t xml:space="preserve"> (</w:t>
            </w:r>
            <w:r>
              <w:rPr>
                <w:rFonts w:cs="Arial"/>
              </w:rPr>
              <w:t>Λ+</w:t>
            </w:r>
            <w:r>
              <w:t>)</w:t>
            </w:r>
            <w:r w:rsidRPr="00881E61">
              <w:t xml:space="preserve">. The points are </w:t>
            </w:r>
            <w:r>
              <w:t xml:space="preserve">average </w:t>
            </w:r>
            <w:r w:rsidRPr="00881E61">
              <w:t>values of single sites</w:t>
            </w:r>
            <w:r>
              <w:t xml:space="preserve"> (</w:t>
            </w:r>
            <w:proofErr w:type="gramStart"/>
            <w:r>
              <w:t>i.e.</w:t>
            </w:r>
            <w:proofErr w:type="gramEnd"/>
            <w:r>
              <w:t xml:space="preserve"> hosts). The horizontal line shows the expected mean, the curved lines delimit the 95% confidence interval obtained by the randomization test (Clarke &amp; Warwick 1998; see text for further details). The histogram</w:t>
            </w:r>
            <w:r w:rsidR="002131EC">
              <w:t>s</w:t>
            </w:r>
            <w:r>
              <w:t xml:space="preserve"> indicate spread of </w:t>
            </w:r>
            <w:r w:rsidRPr="00881E61">
              <w:t>∆+</w:t>
            </w:r>
            <w:r>
              <w:t xml:space="preserve"> and </w:t>
            </w:r>
            <w:r>
              <w:rPr>
                <w:rFonts w:cs="Arial"/>
              </w:rPr>
              <w:t>Λ+</w:t>
            </w:r>
            <w:r>
              <w:t xml:space="preserve"> </w:t>
            </w:r>
            <w:proofErr w:type="gramStart"/>
            <w:r>
              <w:t>values</w:t>
            </w:r>
            <w:proofErr w:type="gramEnd"/>
            <w:r w:rsidR="002131EC">
              <w:t xml:space="preserve"> respectively.</w:t>
            </w:r>
          </w:p>
        </w:tc>
      </w:tr>
    </w:tbl>
    <w:p w14:paraId="4DE81CD3" w14:textId="5CA6B4C0" w:rsidR="00C431D2" w:rsidRDefault="00C431D2"/>
    <w:p w14:paraId="02710B63" w14:textId="77777777" w:rsidR="00C431D2" w:rsidRDefault="00C431D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3"/>
        <w:gridCol w:w="1291"/>
        <w:gridCol w:w="1729"/>
        <w:gridCol w:w="1778"/>
        <w:gridCol w:w="1985"/>
      </w:tblGrid>
      <w:tr w:rsidR="00C431D2" w14:paraId="5312929A" w14:textId="77777777" w:rsidTr="00C431D2">
        <w:trPr>
          <w:trHeight w:val="283"/>
        </w:trPr>
        <w:tc>
          <w:tcPr>
            <w:tcW w:w="8606" w:type="dxa"/>
            <w:gridSpan w:val="5"/>
          </w:tcPr>
          <w:p w14:paraId="2C5D20E2" w14:textId="77777777" w:rsidR="00C431D2" w:rsidRDefault="00C431D2" w:rsidP="002131EC">
            <w:pPr>
              <w:pStyle w:val="NoSpacing"/>
            </w:pPr>
            <w:r>
              <w:t xml:space="preserve">Table 1: </w:t>
            </w:r>
            <w:r w:rsidRPr="00277B9A">
              <w:t>The distribution of phylogenetic host-specialist and generalist parasites</w:t>
            </w:r>
            <w:r>
              <w:t xml:space="preserve"> </w:t>
            </w:r>
            <w:r w:rsidRPr="00277B9A">
              <w:t>across different types of parasite</w:t>
            </w:r>
            <w:r>
              <w:t>.</w:t>
            </w:r>
          </w:p>
          <w:p w14:paraId="000ECE72" w14:textId="7BDB6FCE" w:rsidR="002131EC" w:rsidRDefault="002131EC" w:rsidP="002131EC">
            <w:pPr>
              <w:pStyle w:val="NoSpacing"/>
              <w:jc w:val="center"/>
            </w:pPr>
          </w:p>
        </w:tc>
      </w:tr>
      <w:tr w:rsidR="00C431D2" w14:paraId="033FD057" w14:textId="77777777" w:rsidTr="002131EC">
        <w:trPr>
          <w:trHeight w:val="283"/>
        </w:trPr>
        <w:tc>
          <w:tcPr>
            <w:tcW w:w="1823" w:type="dxa"/>
          </w:tcPr>
          <w:p w14:paraId="0A8EF7B7" w14:textId="77777777" w:rsidR="00C431D2" w:rsidRDefault="00C431D2" w:rsidP="00C431D2">
            <w:pPr>
              <w:pStyle w:val="NoSpacing"/>
            </w:pPr>
          </w:p>
        </w:tc>
        <w:tc>
          <w:tcPr>
            <w:tcW w:w="1291" w:type="dxa"/>
          </w:tcPr>
          <w:p w14:paraId="29C1D976" w14:textId="77777777" w:rsidR="00C431D2" w:rsidRDefault="00C431D2" w:rsidP="002131EC">
            <w:pPr>
              <w:pStyle w:val="NoSpacing"/>
              <w:jc w:val="center"/>
            </w:pPr>
            <w:r>
              <w:t>n</w:t>
            </w:r>
          </w:p>
        </w:tc>
        <w:tc>
          <w:tcPr>
            <w:tcW w:w="1729" w:type="dxa"/>
          </w:tcPr>
          <w:p w14:paraId="0CC03D44" w14:textId="77777777" w:rsidR="00C431D2" w:rsidRDefault="00C431D2" w:rsidP="002131EC">
            <w:pPr>
              <w:pStyle w:val="NoSpacing"/>
              <w:jc w:val="center"/>
            </w:pPr>
            <w:commentRangeStart w:id="1"/>
            <w:r>
              <w:t>specialists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  <w:tc>
          <w:tcPr>
            <w:tcW w:w="1778" w:type="dxa"/>
          </w:tcPr>
          <w:p w14:paraId="45FB126C" w14:textId="77777777" w:rsidR="00C431D2" w:rsidRDefault="00C431D2" w:rsidP="002131EC">
            <w:pPr>
              <w:pStyle w:val="NoSpacing"/>
              <w:jc w:val="center"/>
            </w:pPr>
            <w:commentRangeStart w:id="2"/>
            <w:r>
              <w:t>generalists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  <w:tc>
          <w:tcPr>
            <w:tcW w:w="1985" w:type="dxa"/>
          </w:tcPr>
          <w:p w14:paraId="4BFEA654" w14:textId="77777777" w:rsidR="00C431D2" w:rsidRDefault="00C431D2" w:rsidP="002131EC">
            <w:pPr>
              <w:pStyle w:val="NoSpacing"/>
              <w:jc w:val="center"/>
            </w:pPr>
            <w:commentRangeStart w:id="3"/>
            <w:r>
              <w:t>singletons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C431D2" w14:paraId="524A770D" w14:textId="77777777" w:rsidTr="002131EC">
        <w:trPr>
          <w:trHeight w:val="283"/>
        </w:trPr>
        <w:tc>
          <w:tcPr>
            <w:tcW w:w="1823" w:type="dxa"/>
          </w:tcPr>
          <w:p w14:paraId="388A177B" w14:textId="3E5B479B" w:rsidR="00C431D2" w:rsidRDefault="00C431D2" w:rsidP="002131EC">
            <w:pPr>
              <w:pStyle w:val="NoSpacing"/>
            </w:pPr>
            <w:r>
              <w:t>All parasites</w:t>
            </w:r>
          </w:p>
        </w:tc>
        <w:tc>
          <w:tcPr>
            <w:tcW w:w="1291" w:type="dxa"/>
          </w:tcPr>
          <w:p w14:paraId="24B38FD2" w14:textId="77777777" w:rsidR="00C431D2" w:rsidRDefault="00C431D2" w:rsidP="002131EC">
            <w:pPr>
              <w:pStyle w:val="NoSpacing"/>
              <w:jc w:val="center"/>
            </w:pPr>
            <w:r>
              <w:t>2078</w:t>
            </w:r>
          </w:p>
        </w:tc>
        <w:tc>
          <w:tcPr>
            <w:tcW w:w="1729" w:type="dxa"/>
          </w:tcPr>
          <w:p w14:paraId="17A11F5E" w14:textId="77777777" w:rsidR="00C431D2" w:rsidRDefault="00C431D2" w:rsidP="002131EC">
            <w:pPr>
              <w:pStyle w:val="NoSpacing"/>
              <w:jc w:val="center"/>
            </w:pPr>
            <w:r>
              <w:t>918</w:t>
            </w:r>
          </w:p>
        </w:tc>
        <w:tc>
          <w:tcPr>
            <w:tcW w:w="1778" w:type="dxa"/>
          </w:tcPr>
          <w:p w14:paraId="1B3D15D8" w14:textId="77777777" w:rsidR="00C431D2" w:rsidRDefault="00C431D2" w:rsidP="002131EC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117BB7E5" w14:textId="77777777" w:rsidR="00C431D2" w:rsidRDefault="00C431D2" w:rsidP="002131EC">
            <w:pPr>
              <w:pStyle w:val="NoSpacing"/>
              <w:jc w:val="center"/>
            </w:pPr>
            <w:r>
              <w:t>507</w:t>
            </w:r>
          </w:p>
        </w:tc>
      </w:tr>
      <w:tr w:rsidR="00C431D2" w14:paraId="0C10EA66" w14:textId="77777777" w:rsidTr="002131EC">
        <w:trPr>
          <w:trHeight w:val="283"/>
        </w:trPr>
        <w:tc>
          <w:tcPr>
            <w:tcW w:w="1823" w:type="dxa"/>
          </w:tcPr>
          <w:p w14:paraId="4AB3E34E" w14:textId="77777777" w:rsidR="00C431D2" w:rsidRDefault="00C431D2" w:rsidP="002131EC">
            <w:pPr>
              <w:pStyle w:val="NoSpacing"/>
            </w:pPr>
          </w:p>
          <w:p w14:paraId="0DC603AB" w14:textId="4F31F5EA" w:rsidR="00C431D2" w:rsidRDefault="00C431D2" w:rsidP="002131EC">
            <w:pPr>
              <w:pStyle w:val="NoSpacing"/>
            </w:pPr>
            <w:r>
              <w:t>By group</w:t>
            </w:r>
          </w:p>
        </w:tc>
        <w:tc>
          <w:tcPr>
            <w:tcW w:w="1291" w:type="dxa"/>
          </w:tcPr>
          <w:p w14:paraId="008777B7" w14:textId="77777777" w:rsidR="00C431D2" w:rsidRDefault="00C431D2" w:rsidP="002131EC">
            <w:pPr>
              <w:pStyle w:val="NoSpacing"/>
              <w:jc w:val="center"/>
            </w:pPr>
          </w:p>
        </w:tc>
        <w:tc>
          <w:tcPr>
            <w:tcW w:w="1729" w:type="dxa"/>
          </w:tcPr>
          <w:p w14:paraId="68084A9F" w14:textId="77777777" w:rsidR="00C431D2" w:rsidRDefault="00C431D2" w:rsidP="002131EC">
            <w:pPr>
              <w:pStyle w:val="NoSpacing"/>
              <w:jc w:val="center"/>
            </w:pPr>
          </w:p>
        </w:tc>
        <w:tc>
          <w:tcPr>
            <w:tcW w:w="1778" w:type="dxa"/>
          </w:tcPr>
          <w:p w14:paraId="212396DF" w14:textId="77777777" w:rsidR="00C431D2" w:rsidRDefault="00C431D2" w:rsidP="002131EC">
            <w:pPr>
              <w:pStyle w:val="NoSpacing"/>
              <w:jc w:val="center"/>
            </w:pPr>
          </w:p>
        </w:tc>
        <w:tc>
          <w:tcPr>
            <w:tcW w:w="1985" w:type="dxa"/>
          </w:tcPr>
          <w:p w14:paraId="6D5FB789" w14:textId="77777777" w:rsidR="00C431D2" w:rsidRDefault="00C431D2" w:rsidP="002131EC">
            <w:pPr>
              <w:pStyle w:val="NoSpacing"/>
              <w:jc w:val="center"/>
            </w:pPr>
          </w:p>
        </w:tc>
      </w:tr>
      <w:tr w:rsidR="00C431D2" w14:paraId="3FAC5336" w14:textId="77777777" w:rsidTr="002131EC">
        <w:trPr>
          <w:trHeight w:val="283"/>
        </w:trPr>
        <w:tc>
          <w:tcPr>
            <w:tcW w:w="1823" w:type="dxa"/>
          </w:tcPr>
          <w:p w14:paraId="7FFD069E" w14:textId="77777777" w:rsidR="00C431D2" w:rsidRDefault="00C431D2" w:rsidP="002131EC">
            <w:pPr>
              <w:pStyle w:val="NoSpacing"/>
              <w:jc w:val="right"/>
            </w:pPr>
            <w:r>
              <w:t>Helminths</w:t>
            </w:r>
          </w:p>
        </w:tc>
        <w:tc>
          <w:tcPr>
            <w:tcW w:w="1291" w:type="dxa"/>
          </w:tcPr>
          <w:p w14:paraId="28F3EB1D" w14:textId="77777777" w:rsidR="00C431D2" w:rsidRDefault="00C431D2" w:rsidP="002131EC">
            <w:pPr>
              <w:pStyle w:val="NoSpacing"/>
              <w:jc w:val="center"/>
            </w:pPr>
            <w:r>
              <w:t>1766</w:t>
            </w:r>
          </w:p>
        </w:tc>
        <w:tc>
          <w:tcPr>
            <w:tcW w:w="1729" w:type="dxa"/>
          </w:tcPr>
          <w:p w14:paraId="308F79FF" w14:textId="77777777" w:rsidR="00C431D2" w:rsidRDefault="00C431D2" w:rsidP="002131EC">
            <w:pPr>
              <w:pStyle w:val="NoSpacing"/>
              <w:jc w:val="center"/>
            </w:pPr>
            <w:r>
              <w:t>749</w:t>
            </w:r>
          </w:p>
        </w:tc>
        <w:tc>
          <w:tcPr>
            <w:tcW w:w="1778" w:type="dxa"/>
          </w:tcPr>
          <w:p w14:paraId="0B4809E6" w14:textId="77777777" w:rsidR="00C431D2" w:rsidRDefault="00C431D2" w:rsidP="002131EC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65B0835C" w14:textId="77777777" w:rsidR="00C431D2" w:rsidRDefault="00C431D2" w:rsidP="002131EC">
            <w:pPr>
              <w:pStyle w:val="NoSpacing"/>
              <w:jc w:val="center"/>
            </w:pPr>
            <w:r>
              <w:t>439</w:t>
            </w:r>
          </w:p>
        </w:tc>
      </w:tr>
      <w:tr w:rsidR="00C431D2" w14:paraId="15C81C3A" w14:textId="77777777" w:rsidTr="002131EC">
        <w:trPr>
          <w:trHeight w:val="283"/>
        </w:trPr>
        <w:tc>
          <w:tcPr>
            <w:tcW w:w="1823" w:type="dxa"/>
          </w:tcPr>
          <w:p w14:paraId="510122F2" w14:textId="77777777" w:rsidR="00C431D2" w:rsidRDefault="00C431D2" w:rsidP="002131EC">
            <w:pPr>
              <w:pStyle w:val="NoSpacing"/>
              <w:jc w:val="right"/>
            </w:pPr>
            <w:r>
              <w:t>Arthropods</w:t>
            </w:r>
          </w:p>
        </w:tc>
        <w:tc>
          <w:tcPr>
            <w:tcW w:w="1291" w:type="dxa"/>
          </w:tcPr>
          <w:p w14:paraId="33A68012" w14:textId="77777777" w:rsidR="00C431D2" w:rsidRDefault="00C431D2" w:rsidP="002131EC">
            <w:pPr>
              <w:pStyle w:val="NoSpacing"/>
              <w:jc w:val="center"/>
            </w:pPr>
            <w:r>
              <w:t>278</w:t>
            </w:r>
          </w:p>
        </w:tc>
        <w:tc>
          <w:tcPr>
            <w:tcW w:w="1729" w:type="dxa"/>
          </w:tcPr>
          <w:p w14:paraId="158C0A6F" w14:textId="77777777" w:rsidR="00C431D2" w:rsidRDefault="00C431D2" w:rsidP="002131EC">
            <w:pPr>
              <w:pStyle w:val="NoSpacing"/>
              <w:jc w:val="center"/>
            </w:pPr>
            <w:r>
              <w:t>161</w:t>
            </w:r>
          </w:p>
        </w:tc>
        <w:tc>
          <w:tcPr>
            <w:tcW w:w="1778" w:type="dxa"/>
          </w:tcPr>
          <w:p w14:paraId="3878FA46" w14:textId="77777777" w:rsidR="00C431D2" w:rsidRDefault="00C431D2" w:rsidP="002131E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142620E1" w14:textId="77777777" w:rsidR="00C431D2" w:rsidRDefault="00C431D2" w:rsidP="002131EC">
            <w:pPr>
              <w:pStyle w:val="NoSpacing"/>
              <w:jc w:val="center"/>
            </w:pPr>
            <w:r>
              <w:t>49</w:t>
            </w:r>
          </w:p>
        </w:tc>
      </w:tr>
      <w:tr w:rsidR="00C431D2" w14:paraId="207233C1" w14:textId="77777777" w:rsidTr="002131EC">
        <w:trPr>
          <w:trHeight w:val="283"/>
        </w:trPr>
        <w:tc>
          <w:tcPr>
            <w:tcW w:w="1823" w:type="dxa"/>
          </w:tcPr>
          <w:p w14:paraId="38EF914C" w14:textId="77777777" w:rsidR="00C431D2" w:rsidRDefault="00C431D2" w:rsidP="002131EC">
            <w:pPr>
              <w:pStyle w:val="NoSpacing"/>
              <w:jc w:val="right"/>
            </w:pPr>
            <w:r>
              <w:t>Minor groups</w:t>
            </w:r>
          </w:p>
        </w:tc>
        <w:tc>
          <w:tcPr>
            <w:tcW w:w="1291" w:type="dxa"/>
          </w:tcPr>
          <w:p w14:paraId="59A5DB3D" w14:textId="77777777" w:rsidR="00C431D2" w:rsidRDefault="00C431D2" w:rsidP="002131EC">
            <w:pPr>
              <w:pStyle w:val="NoSpacing"/>
              <w:jc w:val="center"/>
            </w:pPr>
            <w:r>
              <w:t>34</w:t>
            </w:r>
          </w:p>
        </w:tc>
        <w:tc>
          <w:tcPr>
            <w:tcW w:w="1729" w:type="dxa"/>
          </w:tcPr>
          <w:p w14:paraId="4AD889B4" w14:textId="77777777" w:rsidR="00C431D2" w:rsidRDefault="00C431D2" w:rsidP="002131EC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1778" w:type="dxa"/>
          </w:tcPr>
          <w:p w14:paraId="7027905C" w14:textId="77777777" w:rsidR="00C431D2" w:rsidRDefault="00C431D2" w:rsidP="002131E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38DA0EAF" w14:textId="77777777" w:rsidR="00C431D2" w:rsidRDefault="00C431D2" w:rsidP="002131EC">
            <w:pPr>
              <w:pStyle w:val="NoSpacing"/>
              <w:jc w:val="center"/>
            </w:pPr>
            <w:r>
              <w:t>19</w:t>
            </w:r>
          </w:p>
        </w:tc>
      </w:tr>
      <w:tr w:rsidR="00C431D2" w14:paraId="7152E545" w14:textId="77777777" w:rsidTr="002131EC">
        <w:trPr>
          <w:trHeight w:val="283"/>
        </w:trPr>
        <w:tc>
          <w:tcPr>
            <w:tcW w:w="1823" w:type="dxa"/>
          </w:tcPr>
          <w:p w14:paraId="6AC3C7B7" w14:textId="77777777" w:rsidR="00C431D2" w:rsidRDefault="00C431D2" w:rsidP="002131EC">
            <w:pPr>
              <w:pStyle w:val="NoSpacing"/>
            </w:pPr>
          </w:p>
          <w:p w14:paraId="58384755" w14:textId="7224043F" w:rsidR="00C431D2" w:rsidRDefault="00C431D2" w:rsidP="002131EC">
            <w:pPr>
              <w:pStyle w:val="NoSpacing"/>
            </w:pPr>
            <w:r>
              <w:t>By Habitat</w:t>
            </w:r>
          </w:p>
        </w:tc>
        <w:tc>
          <w:tcPr>
            <w:tcW w:w="1291" w:type="dxa"/>
          </w:tcPr>
          <w:p w14:paraId="02156804" w14:textId="77777777" w:rsidR="00C431D2" w:rsidRDefault="00C431D2" w:rsidP="002131EC">
            <w:pPr>
              <w:pStyle w:val="NoSpacing"/>
              <w:jc w:val="center"/>
            </w:pPr>
          </w:p>
        </w:tc>
        <w:tc>
          <w:tcPr>
            <w:tcW w:w="1729" w:type="dxa"/>
          </w:tcPr>
          <w:p w14:paraId="0A4416A8" w14:textId="77777777" w:rsidR="00C431D2" w:rsidRDefault="00C431D2" w:rsidP="002131EC">
            <w:pPr>
              <w:pStyle w:val="NoSpacing"/>
              <w:jc w:val="center"/>
            </w:pPr>
          </w:p>
        </w:tc>
        <w:tc>
          <w:tcPr>
            <w:tcW w:w="1778" w:type="dxa"/>
          </w:tcPr>
          <w:p w14:paraId="7125DD28" w14:textId="77777777" w:rsidR="00C431D2" w:rsidRDefault="00C431D2" w:rsidP="002131EC">
            <w:pPr>
              <w:pStyle w:val="NoSpacing"/>
              <w:jc w:val="center"/>
            </w:pPr>
          </w:p>
        </w:tc>
        <w:tc>
          <w:tcPr>
            <w:tcW w:w="1985" w:type="dxa"/>
          </w:tcPr>
          <w:p w14:paraId="54A24C38" w14:textId="77777777" w:rsidR="00C431D2" w:rsidRDefault="00C431D2" w:rsidP="002131EC">
            <w:pPr>
              <w:pStyle w:val="NoSpacing"/>
              <w:jc w:val="center"/>
            </w:pPr>
          </w:p>
        </w:tc>
      </w:tr>
      <w:tr w:rsidR="00C431D2" w14:paraId="6E69205D" w14:textId="77777777" w:rsidTr="002131EC">
        <w:trPr>
          <w:trHeight w:val="283"/>
        </w:trPr>
        <w:tc>
          <w:tcPr>
            <w:tcW w:w="1823" w:type="dxa"/>
          </w:tcPr>
          <w:p w14:paraId="14327B9C" w14:textId="77777777" w:rsidR="00C431D2" w:rsidRDefault="00C431D2" w:rsidP="002131EC">
            <w:pPr>
              <w:pStyle w:val="NoSpacing"/>
              <w:jc w:val="right"/>
            </w:pPr>
            <w:r>
              <w:t>endo</w:t>
            </w:r>
          </w:p>
        </w:tc>
        <w:tc>
          <w:tcPr>
            <w:tcW w:w="1291" w:type="dxa"/>
          </w:tcPr>
          <w:p w14:paraId="6FBCC6BE" w14:textId="77777777" w:rsidR="00C431D2" w:rsidRDefault="00C431D2" w:rsidP="002131EC">
            <w:pPr>
              <w:pStyle w:val="NoSpacing"/>
              <w:jc w:val="center"/>
            </w:pPr>
            <w:r>
              <w:t>1516</w:t>
            </w:r>
          </w:p>
        </w:tc>
        <w:tc>
          <w:tcPr>
            <w:tcW w:w="1729" w:type="dxa"/>
          </w:tcPr>
          <w:p w14:paraId="38215445" w14:textId="77777777" w:rsidR="00C431D2" w:rsidRDefault="00C431D2" w:rsidP="002131EC">
            <w:pPr>
              <w:pStyle w:val="NoSpacing"/>
              <w:jc w:val="center"/>
            </w:pPr>
            <w:r>
              <w:t>647</w:t>
            </w:r>
          </w:p>
        </w:tc>
        <w:tc>
          <w:tcPr>
            <w:tcW w:w="1778" w:type="dxa"/>
          </w:tcPr>
          <w:p w14:paraId="71AAAE9C" w14:textId="77777777" w:rsidR="00C431D2" w:rsidRDefault="00C431D2" w:rsidP="002131EC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1985" w:type="dxa"/>
          </w:tcPr>
          <w:p w14:paraId="3BF984D1" w14:textId="77777777" w:rsidR="00C431D2" w:rsidRDefault="00C431D2" w:rsidP="002131EC">
            <w:pPr>
              <w:pStyle w:val="NoSpacing"/>
              <w:jc w:val="center"/>
            </w:pPr>
            <w:r>
              <w:t>379</w:t>
            </w:r>
          </w:p>
        </w:tc>
      </w:tr>
      <w:tr w:rsidR="00C431D2" w14:paraId="74A2125B" w14:textId="77777777" w:rsidTr="002131EC">
        <w:trPr>
          <w:trHeight w:val="283"/>
        </w:trPr>
        <w:tc>
          <w:tcPr>
            <w:tcW w:w="1823" w:type="dxa"/>
          </w:tcPr>
          <w:p w14:paraId="520B72D7" w14:textId="77777777" w:rsidR="00C431D2" w:rsidRDefault="00C431D2" w:rsidP="002131EC">
            <w:pPr>
              <w:pStyle w:val="NoSpacing"/>
              <w:jc w:val="right"/>
            </w:pPr>
            <w:proofErr w:type="spellStart"/>
            <w:r>
              <w:t>ecto</w:t>
            </w:r>
            <w:proofErr w:type="spellEnd"/>
          </w:p>
        </w:tc>
        <w:tc>
          <w:tcPr>
            <w:tcW w:w="1291" w:type="dxa"/>
          </w:tcPr>
          <w:p w14:paraId="1C41810B" w14:textId="77777777" w:rsidR="00C431D2" w:rsidRDefault="00C431D2" w:rsidP="002131EC">
            <w:pPr>
              <w:pStyle w:val="NoSpacing"/>
              <w:jc w:val="center"/>
            </w:pPr>
            <w:r>
              <w:t>562</w:t>
            </w:r>
          </w:p>
        </w:tc>
        <w:tc>
          <w:tcPr>
            <w:tcW w:w="1729" w:type="dxa"/>
          </w:tcPr>
          <w:p w14:paraId="18003BCB" w14:textId="77777777" w:rsidR="00C431D2" w:rsidRDefault="00C431D2" w:rsidP="002131EC">
            <w:pPr>
              <w:pStyle w:val="NoSpacing"/>
              <w:jc w:val="center"/>
            </w:pPr>
            <w:r>
              <w:t>149</w:t>
            </w:r>
          </w:p>
        </w:tc>
        <w:tc>
          <w:tcPr>
            <w:tcW w:w="1778" w:type="dxa"/>
          </w:tcPr>
          <w:p w14:paraId="5C02A872" w14:textId="77777777" w:rsidR="00C431D2" w:rsidRDefault="00C431D2" w:rsidP="002131EC">
            <w:pPr>
              <w:pStyle w:val="NoSpacing"/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6D05051D" w14:textId="77777777" w:rsidR="00C431D2" w:rsidRDefault="00C431D2" w:rsidP="002131EC">
            <w:pPr>
              <w:pStyle w:val="NoSpacing"/>
              <w:jc w:val="center"/>
            </w:pPr>
            <w:r>
              <w:t>128</w:t>
            </w:r>
          </w:p>
        </w:tc>
      </w:tr>
      <w:tr w:rsidR="00C431D2" w14:paraId="6A8375A8" w14:textId="77777777" w:rsidTr="002131EC">
        <w:trPr>
          <w:trHeight w:val="283"/>
        </w:trPr>
        <w:tc>
          <w:tcPr>
            <w:tcW w:w="1823" w:type="dxa"/>
          </w:tcPr>
          <w:p w14:paraId="4D1F21AA" w14:textId="77777777" w:rsidR="00C431D2" w:rsidRDefault="00C431D2" w:rsidP="002131EC">
            <w:pPr>
              <w:pStyle w:val="NoSpacing"/>
            </w:pPr>
          </w:p>
          <w:p w14:paraId="08A731C3" w14:textId="73D1A7CC" w:rsidR="00C431D2" w:rsidRDefault="00C431D2" w:rsidP="002131EC">
            <w:pPr>
              <w:pStyle w:val="NoSpacing"/>
            </w:pPr>
            <w:r>
              <w:t>By Lifestyle</w:t>
            </w:r>
          </w:p>
        </w:tc>
        <w:tc>
          <w:tcPr>
            <w:tcW w:w="1291" w:type="dxa"/>
          </w:tcPr>
          <w:p w14:paraId="112CAD55" w14:textId="77777777" w:rsidR="00C431D2" w:rsidRDefault="00C431D2" w:rsidP="002131EC">
            <w:pPr>
              <w:pStyle w:val="NoSpacing"/>
              <w:jc w:val="center"/>
            </w:pPr>
          </w:p>
        </w:tc>
        <w:tc>
          <w:tcPr>
            <w:tcW w:w="1729" w:type="dxa"/>
          </w:tcPr>
          <w:p w14:paraId="7A023EC9" w14:textId="77777777" w:rsidR="00C431D2" w:rsidRDefault="00C431D2" w:rsidP="002131EC">
            <w:pPr>
              <w:pStyle w:val="NoSpacing"/>
              <w:jc w:val="center"/>
            </w:pPr>
          </w:p>
        </w:tc>
        <w:tc>
          <w:tcPr>
            <w:tcW w:w="1778" w:type="dxa"/>
          </w:tcPr>
          <w:p w14:paraId="432FABF7" w14:textId="77777777" w:rsidR="00C431D2" w:rsidRDefault="00C431D2" w:rsidP="002131EC">
            <w:pPr>
              <w:pStyle w:val="NoSpacing"/>
              <w:jc w:val="center"/>
            </w:pPr>
          </w:p>
        </w:tc>
        <w:tc>
          <w:tcPr>
            <w:tcW w:w="1985" w:type="dxa"/>
          </w:tcPr>
          <w:p w14:paraId="16E501D1" w14:textId="77777777" w:rsidR="00C431D2" w:rsidRDefault="00C431D2" w:rsidP="002131EC">
            <w:pPr>
              <w:pStyle w:val="NoSpacing"/>
              <w:jc w:val="center"/>
            </w:pPr>
          </w:p>
        </w:tc>
      </w:tr>
      <w:tr w:rsidR="00C431D2" w14:paraId="15F33C01" w14:textId="77777777" w:rsidTr="002131EC">
        <w:trPr>
          <w:trHeight w:val="283"/>
        </w:trPr>
        <w:tc>
          <w:tcPr>
            <w:tcW w:w="1823" w:type="dxa"/>
          </w:tcPr>
          <w:p w14:paraId="504599DA" w14:textId="77777777" w:rsidR="00C431D2" w:rsidRDefault="00C431D2" w:rsidP="002131EC">
            <w:pPr>
              <w:pStyle w:val="NoSpacing"/>
              <w:jc w:val="right"/>
            </w:pPr>
            <w:r>
              <w:t>direct</w:t>
            </w:r>
          </w:p>
        </w:tc>
        <w:tc>
          <w:tcPr>
            <w:tcW w:w="1291" w:type="dxa"/>
          </w:tcPr>
          <w:p w14:paraId="192C28A6" w14:textId="77777777" w:rsidR="00C431D2" w:rsidRDefault="00C431D2" w:rsidP="002131EC">
            <w:pPr>
              <w:pStyle w:val="NoSpacing"/>
              <w:jc w:val="center"/>
            </w:pPr>
            <w:r>
              <w:t>663</w:t>
            </w:r>
          </w:p>
        </w:tc>
        <w:tc>
          <w:tcPr>
            <w:tcW w:w="1729" w:type="dxa"/>
          </w:tcPr>
          <w:p w14:paraId="4E2023B9" w14:textId="77777777" w:rsidR="00C431D2" w:rsidRDefault="00C431D2" w:rsidP="002131EC">
            <w:pPr>
              <w:pStyle w:val="NoSpacing"/>
              <w:jc w:val="center"/>
            </w:pPr>
            <w:r>
              <w:t>608</w:t>
            </w:r>
          </w:p>
        </w:tc>
        <w:tc>
          <w:tcPr>
            <w:tcW w:w="1778" w:type="dxa"/>
          </w:tcPr>
          <w:p w14:paraId="42074B9F" w14:textId="77777777" w:rsidR="00C431D2" w:rsidRDefault="00C431D2" w:rsidP="002131EC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1985" w:type="dxa"/>
          </w:tcPr>
          <w:p w14:paraId="2CECDD51" w14:textId="77777777" w:rsidR="00C431D2" w:rsidRDefault="00C431D2" w:rsidP="002131EC">
            <w:pPr>
              <w:pStyle w:val="NoSpacing"/>
              <w:jc w:val="center"/>
            </w:pPr>
            <w:r>
              <w:t>163</w:t>
            </w:r>
          </w:p>
        </w:tc>
      </w:tr>
      <w:tr w:rsidR="00C431D2" w14:paraId="4CE54FBA" w14:textId="77777777" w:rsidTr="002131EC">
        <w:trPr>
          <w:trHeight w:val="283"/>
        </w:trPr>
        <w:tc>
          <w:tcPr>
            <w:tcW w:w="1823" w:type="dxa"/>
          </w:tcPr>
          <w:p w14:paraId="2F51A218" w14:textId="77777777" w:rsidR="00C431D2" w:rsidRDefault="00C431D2" w:rsidP="002131EC">
            <w:pPr>
              <w:pStyle w:val="NoSpacing"/>
              <w:jc w:val="right"/>
            </w:pPr>
            <w:r>
              <w:t>indirect</w:t>
            </w:r>
          </w:p>
        </w:tc>
        <w:tc>
          <w:tcPr>
            <w:tcW w:w="1291" w:type="dxa"/>
          </w:tcPr>
          <w:p w14:paraId="69C4413E" w14:textId="77777777" w:rsidR="00C431D2" w:rsidRDefault="00C431D2" w:rsidP="002131EC">
            <w:pPr>
              <w:pStyle w:val="NoSpacing"/>
              <w:jc w:val="center"/>
            </w:pPr>
            <w:r>
              <w:t>1415</w:t>
            </w:r>
          </w:p>
        </w:tc>
        <w:tc>
          <w:tcPr>
            <w:tcW w:w="1729" w:type="dxa"/>
          </w:tcPr>
          <w:p w14:paraId="2907CF27" w14:textId="77777777" w:rsidR="00C431D2" w:rsidRDefault="00C431D2" w:rsidP="002131EC">
            <w:pPr>
              <w:pStyle w:val="NoSpacing"/>
              <w:jc w:val="center"/>
            </w:pPr>
            <w:r>
              <w:t>309</w:t>
            </w:r>
          </w:p>
        </w:tc>
        <w:tc>
          <w:tcPr>
            <w:tcW w:w="1778" w:type="dxa"/>
          </w:tcPr>
          <w:p w14:paraId="2BA2C6AA" w14:textId="77777777" w:rsidR="00C431D2" w:rsidRDefault="00C431D2" w:rsidP="002131EC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1985" w:type="dxa"/>
          </w:tcPr>
          <w:p w14:paraId="1EAC23C7" w14:textId="77777777" w:rsidR="00C431D2" w:rsidRDefault="00C431D2" w:rsidP="002131EC">
            <w:pPr>
              <w:pStyle w:val="NoSpacing"/>
              <w:jc w:val="center"/>
            </w:pPr>
            <w:r>
              <w:t>344</w:t>
            </w:r>
          </w:p>
        </w:tc>
      </w:tr>
    </w:tbl>
    <w:p w14:paraId="2E34B061" w14:textId="48163B65" w:rsidR="00C431D2" w:rsidRDefault="00C431D2"/>
    <w:p w14:paraId="6DD7B35C" w14:textId="1EED3F12" w:rsidR="00C431D2" w:rsidRDefault="00C431D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431D2" w14:paraId="5D4D2C86" w14:textId="77777777" w:rsidTr="00C431D2">
        <w:tc>
          <w:tcPr>
            <w:tcW w:w="9350" w:type="dxa"/>
          </w:tcPr>
          <w:p w14:paraId="794814A6" w14:textId="04FE5343" w:rsidR="00C431D2" w:rsidRDefault="00C431D2">
            <w:commentRangeStart w:id="4"/>
            <w:r>
              <w:rPr>
                <w:noProof/>
                <w:lang w:eastAsia="en-NZ"/>
              </w:rPr>
              <w:lastRenderedPageBreak/>
              <w:drawing>
                <wp:inline distT="0" distB="0" distL="0" distR="0" wp14:anchorId="2317CF76" wp14:editId="637EB2DD">
                  <wp:extent cx="5730240" cy="8595360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0240" cy="859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C431D2" w14:paraId="69CC32FC" w14:textId="77777777" w:rsidTr="00C431D2">
        <w:tc>
          <w:tcPr>
            <w:tcW w:w="9350" w:type="dxa"/>
          </w:tcPr>
          <w:p w14:paraId="74B1F335" w14:textId="274B0B54" w:rsidR="00C431D2" w:rsidRDefault="00C431D2">
            <w:commentRangeStart w:id="5"/>
            <w:r>
              <w:lastRenderedPageBreak/>
              <w:t>Figure</w:t>
            </w:r>
            <w:commentRangeEnd w:id="5"/>
            <w:r>
              <w:rPr>
                <w:rStyle w:val="CommentReference"/>
              </w:rPr>
              <w:commentReference w:id="5"/>
            </w:r>
            <w:r>
              <w:t xml:space="preserve">: Box plots indicating parasite specificity measures incl. host range, phylogenetic </w:t>
            </w:r>
            <w:proofErr w:type="gramStart"/>
            <w:r>
              <w:t>diversity</w:t>
            </w:r>
            <w:proofErr w:type="gramEnd"/>
            <w:r>
              <w:t xml:space="preserve"> and net relatedness index for parasites across taxonomic groups, habitat and lifestyle. </w:t>
            </w:r>
          </w:p>
        </w:tc>
      </w:tr>
    </w:tbl>
    <w:p w14:paraId="0E995109" w14:textId="22B1D42E" w:rsidR="00C431D2" w:rsidRDefault="00C431D2">
      <w:r>
        <w:t>Gam results…</w:t>
      </w:r>
    </w:p>
    <w:p w14:paraId="1B25A867" w14:textId="77777777" w:rsidR="00C431D2" w:rsidRDefault="00C431D2"/>
    <w:sectPr w:rsidR="00C43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Thomas Morris" w:date="2021-04-13T10:20:00Z" w:initials="TM">
    <w:p w14:paraId="5C7D48EC" w14:textId="2285774A" w:rsidR="00AC54AC" w:rsidRDefault="00AC54AC">
      <w:pPr>
        <w:pStyle w:val="CommentText"/>
      </w:pPr>
      <w:r>
        <w:rPr>
          <w:rStyle w:val="CommentReference"/>
        </w:rPr>
        <w:annotationRef/>
      </w:r>
      <w:r>
        <w:t>See if you can get the Y axes to line up?</w:t>
      </w:r>
    </w:p>
  </w:comment>
  <w:comment w:id="1" w:author="Thomas Morris" w:date="2020-08-04T14:46:00Z" w:initials="TM">
    <w:p w14:paraId="14306286" w14:textId="77777777" w:rsidR="00C431D2" w:rsidRDefault="00C431D2" w:rsidP="00C431D2">
      <w:pPr>
        <w:pStyle w:val="CommentText"/>
      </w:pPr>
      <w:r>
        <w:rPr>
          <w:rStyle w:val="CommentReference"/>
        </w:rPr>
        <w:annotationRef/>
      </w:r>
      <w:r>
        <w:t xml:space="preserve">##Negative values of </w:t>
      </w:r>
      <w:proofErr w:type="spellStart"/>
      <w:r>
        <w:t>mpd.obs.z</w:t>
      </w:r>
      <w:proofErr w:type="spellEnd"/>
      <w:r>
        <w:t xml:space="preserve"> (NRI) and low p values (&lt; 0.05) indicate phylogenetic clustering, </w:t>
      </w:r>
    </w:p>
    <w:p w14:paraId="1F405AE4" w14:textId="77777777" w:rsidR="00C431D2" w:rsidRDefault="00C431D2" w:rsidP="00C431D2">
      <w:pPr>
        <w:pStyle w:val="CommentText"/>
      </w:pPr>
      <w:r>
        <w:t>#i.e., species within the community are more closely related than expected by chance.</w:t>
      </w:r>
    </w:p>
  </w:comment>
  <w:comment w:id="2" w:author="Thomas Morris" w:date="2020-08-04T14:46:00Z" w:initials="TM">
    <w:p w14:paraId="02EB96C0" w14:textId="77777777" w:rsidR="00C431D2" w:rsidRDefault="00C431D2" w:rsidP="00C431D2">
      <w:pPr>
        <w:pStyle w:val="CommentText"/>
      </w:pPr>
      <w:r>
        <w:rPr>
          <w:rStyle w:val="CommentReference"/>
        </w:rPr>
        <w:annotationRef/>
      </w:r>
      <w:r>
        <w:t xml:space="preserve">##Positive values of </w:t>
      </w:r>
      <w:proofErr w:type="spellStart"/>
      <w:r>
        <w:t>mpd.obs.z</w:t>
      </w:r>
      <w:proofErr w:type="spellEnd"/>
      <w:r>
        <w:t xml:space="preserve"> (NRI) and high p values (&gt; 0.95) indicate phylogenetic evenness, </w:t>
      </w:r>
    </w:p>
    <w:p w14:paraId="230306E3" w14:textId="77777777" w:rsidR="00C431D2" w:rsidRDefault="00C431D2" w:rsidP="00C431D2">
      <w:pPr>
        <w:pStyle w:val="CommentText"/>
      </w:pPr>
      <w:r>
        <w:t>#i.e., species within the community are more distantly related than expected by chance.</w:t>
      </w:r>
    </w:p>
  </w:comment>
  <w:comment w:id="3" w:author="Thomas Morris" w:date="2020-08-04T14:49:00Z" w:initials="TM">
    <w:p w14:paraId="462C02B7" w14:textId="77777777" w:rsidR="00C431D2" w:rsidRDefault="00C431D2" w:rsidP="00C431D2">
      <w:pPr>
        <w:pStyle w:val="CommentText"/>
      </w:pPr>
      <w:r>
        <w:rPr>
          <w:rStyle w:val="CommentReference"/>
        </w:rPr>
        <w:annotationRef/>
      </w:r>
      <w:r>
        <w:t xml:space="preserve">Host range of 1 … therefore, can’t do PD </w:t>
      </w:r>
      <w:proofErr w:type="gramStart"/>
      <w:r>
        <w:t>analysis</w:t>
      </w:r>
      <w:proofErr w:type="gramEnd"/>
    </w:p>
  </w:comment>
  <w:comment w:id="4" w:author="Thomas Morris" w:date="2021-04-06T12:04:00Z" w:initials="TM">
    <w:p w14:paraId="242D2720" w14:textId="0D5E461A" w:rsidR="00C431D2" w:rsidRDefault="00C431D2">
      <w:pPr>
        <w:pStyle w:val="CommentText"/>
      </w:pPr>
      <w:r>
        <w:rPr>
          <w:rStyle w:val="CommentReference"/>
        </w:rPr>
        <w:annotationRef/>
      </w:r>
      <w:r>
        <w:t xml:space="preserve">Not sure if valuable and not </w:t>
      </w:r>
      <w:proofErr w:type="gramStart"/>
      <w:r>
        <w:t>really worthy</w:t>
      </w:r>
      <w:proofErr w:type="gramEnd"/>
    </w:p>
  </w:comment>
  <w:comment w:id="5" w:author="Thomas Morris" w:date="2020-09-01T15:52:00Z" w:initials="TM">
    <w:p w14:paraId="6486ED50" w14:textId="77777777" w:rsidR="00C431D2" w:rsidRDefault="00C431D2" w:rsidP="00C431D2">
      <w:pPr>
        <w:pStyle w:val="CommentText"/>
      </w:pPr>
      <w:r>
        <w:rPr>
          <w:rStyle w:val="CommentReference"/>
        </w:rPr>
        <w:annotationRef/>
      </w:r>
      <w:r>
        <w:t>Fix x axis stuff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C7D48EC" w15:done="0"/>
  <w15:commentEx w15:paraId="1F405AE4" w15:done="0"/>
  <w15:commentEx w15:paraId="230306E3" w15:done="0"/>
  <w15:commentEx w15:paraId="462C02B7" w15:done="0"/>
  <w15:commentEx w15:paraId="242D2720" w15:done="0"/>
  <w15:commentEx w15:paraId="6486ED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FEF02" w16cex:dateUtc="2021-04-12T22:20:00Z"/>
  <w16cex:commentExtensible w16cex:durableId="2416CCE2" w16cex:dateUtc="2021-04-06T00:04:00Z"/>
  <w16cex:commentExtensible w16cex:durableId="22F8ECD3" w16cex:dateUtc="2020-09-01T03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C7D48EC" w16cid:durableId="241FEF02"/>
  <w16cid:commentId w16cid:paraId="1F405AE4" w16cid:durableId="2385AD32"/>
  <w16cid:commentId w16cid:paraId="230306E3" w16cid:durableId="2385AD33"/>
  <w16cid:commentId w16cid:paraId="462C02B7" w16cid:durableId="2385AD34"/>
  <w16cid:commentId w16cid:paraId="242D2720" w16cid:durableId="2416CCE2"/>
  <w16cid:commentId w16cid:paraId="6486ED50" w16cid:durableId="22F8ECD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Thomas Morris">
    <w15:presenceInfo w15:providerId="Windows Live" w15:userId="7fede2eadbb0c2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DE7"/>
    <w:rsid w:val="00107DE7"/>
    <w:rsid w:val="002131EC"/>
    <w:rsid w:val="003A2847"/>
    <w:rsid w:val="003F3207"/>
    <w:rsid w:val="00AC54AC"/>
    <w:rsid w:val="00BE2EAE"/>
    <w:rsid w:val="00C431D2"/>
    <w:rsid w:val="00FB1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3584"/>
  <w15:chartTrackingRefBased/>
  <w15:docId w15:val="{473FF612-9257-42FE-AF2E-00CD7B52C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E7"/>
    <w:pPr>
      <w:spacing w:after="200" w:line="360" w:lineRule="auto"/>
    </w:pPr>
    <w:rPr>
      <w:rFonts w:ascii="Arial" w:hAnsi="Arial" w:cstheme="majorBidi"/>
      <w:szCs w:val="3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DE7"/>
    <w:pPr>
      <w:spacing w:after="0" w:line="240" w:lineRule="auto"/>
    </w:pPr>
    <w:rPr>
      <w:rFonts w:ascii="Arial" w:hAnsi="Arial" w:cstheme="majorBidi"/>
      <w:szCs w:val="32"/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431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1D2"/>
    <w:rPr>
      <w:rFonts w:ascii="Arial" w:hAnsi="Arial" w:cstheme="majorBidi"/>
      <w:sz w:val="20"/>
      <w:szCs w:val="20"/>
      <w:lang w:val="en-NZ"/>
    </w:rPr>
  </w:style>
  <w:style w:type="paragraph" w:styleId="NoSpacing">
    <w:name w:val="No Spacing"/>
    <w:uiPriority w:val="1"/>
    <w:qFormat/>
    <w:rsid w:val="00C431D2"/>
    <w:pPr>
      <w:spacing w:after="0" w:line="240" w:lineRule="auto"/>
    </w:pPr>
    <w:rPr>
      <w:rFonts w:ascii="Arial" w:hAnsi="Arial" w:cstheme="majorBidi"/>
      <w:szCs w:val="32"/>
      <w:lang w:val="en-NZ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1D2"/>
    <w:rPr>
      <w:rFonts w:ascii="Arial" w:hAnsi="Arial" w:cstheme="majorBidi"/>
      <w:b/>
      <w:bCs/>
      <w:sz w:val="20"/>
      <w:szCs w:val="20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chart" Target="charts/chart2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chart" Target="charts/chart1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oseface\Google%20Drive\University\PhD%20NZ\Data_and_code\doughnuts%20Chapt%20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ooseface\Google%20Drive\University\PhD%20NZ\Data_and_code\doughnuts%20Chapt%20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/>
              <a:t>Parasites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explosion val="10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15A-425D-B92B-8FD7985EE292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15A-425D-B92B-8FD7985EE292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15A-425D-B92B-8FD7985EE292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C15A-425D-B92B-8FD7985EE292}"/>
              </c:ext>
            </c:extLst>
          </c:dPt>
          <c:dPt>
            <c:idx val="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C15A-425D-B92B-8FD7985EE292}"/>
              </c:ext>
            </c:extLst>
          </c:dPt>
          <c:dPt>
            <c:idx val="5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C15A-425D-B92B-8FD7985EE292}"/>
              </c:ext>
            </c:extLst>
          </c:dPt>
          <c:dPt>
            <c:idx val="6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C15A-425D-B92B-8FD7985EE292}"/>
              </c:ext>
            </c:extLst>
          </c:dPt>
          <c:dPt>
            <c:idx val="7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C15A-425D-B92B-8FD7985EE292}"/>
              </c:ext>
            </c:extLst>
          </c:dPt>
          <c:dPt>
            <c:idx val="8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C15A-425D-B92B-8FD7985EE292}"/>
              </c:ext>
            </c:extLst>
          </c:dPt>
          <c:dPt>
            <c:idx val="9"/>
            <c:bubble3D val="0"/>
            <c:spPr>
              <a:solidFill>
                <a:schemeClr val="accent6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C15A-425D-B92B-8FD7985EE292}"/>
              </c:ext>
            </c:extLst>
          </c:dPt>
          <c:dLbls>
            <c:dLbl>
              <c:idx val="0"/>
              <c:layout>
                <c:manualLayout>
                  <c:x val="0.19301460041233487"/>
                  <c:y val="-8.5367074780392377E-2"/>
                </c:manualLayout>
              </c:layout>
              <c:tx>
                <c:rich>
                  <a:bodyPr/>
                  <a:lstStyle/>
                  <a:p>
                    <a:fld id="{A70678AE-0D82-451F-9451-264701B563AB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 </a:t>
                    </a:r>
                    <a:fld id="{5ACDA15B-C007-4122-AF19-A613C69F48BE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4260554387223338"/>
                      <c:h val="0.13005287272616933"/>
                    </c:manualLayout>
                  </c15:layout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C15A-425D-B92B-8FD7985EE292}"/>
                </c:ext>
              </c:extLst>
            </c:dLbl>
            <c:dLbl>
              <c:idx val="1"/>
              <c:layout>
                <c:manualLayout>
                  <c:x val="0.17239814814814816"/>
                  <c:y val="9.6339113680153701E-3"/>
                </c:manualLayout>
              </c:layout>
              <c:tx>
                <c:rich>
                  <a:bodyPr/>
                  <a:lstStyle/>
                  <a:p>
                    <a:fld id="{D0CB4F9E-B14B-4E9D-B266-C118859A51B6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 </a:t>
                    </a:r>
                    <a:fld id="{B1D4504C-6560-4EF8-BC10-297E87C2108E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C15A-425D-B92B-8FD7985EE292}"/>
                </c:ext>
              </c:extLst>
            </c:dLbl>
            <c:dLbl>
              <c:idx val="2"/>
              <c:layout>
                <c:manualLayout>
                  <c:x val="0.1681159420289855"/>
                  <c:y val="-4.6296296296296294E-2"/>
                </c:manualLayout>
              </c:layout>
              <c:tx>
                <c:rich>
                  <a:bodyPr/>
                  <a:lstStyle/>
                  <a:p>
                    <a:fld id="{08C8438C-A510-4E3F-9B0D-3D81764C52A2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 </a:t>
                    </a:r>
                    <a:fld id="{AC52EC45-8A23-42F7-8362-993C0C10A299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C15A-425D-B92B-8FD7985EE292}"/>
                </c:ext>
              </c:extLst>
            </c:dLbl>
            <c:dLbl>
              <c:idx val="3"/>
              <c:layout>
                <c:manualLayout>
                  <c:x val="0.20869565217391303"/>
                  <c:y val="-7.4074074074074153E-2"/>
                </c:manualLayout>
              </c:layout>
              <c:tx>
                <c:rich>
                  <a:bodyPr/>
                  <a:lstStyle/>
                  <a:p>
                    <a:fld id="{ADF1EB54-57F8-4E9F-95F8-DF6DB2E7BB6C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 </a:t>
                    </a:r>
                    <a:fld id="{5394A15B-F90D-425F-B718-0B71D8D26915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7-C15A-425D-B92B-8FD7985EE292}"/>
                </c:ext>
              </c:extLst>
            </c:dLbl>
            <c:dLbl>
              <c:idx val="4"/>
              <c:layout>
                <c:manualLayout>
                  <c:x val="0.20579710144927535"/>
                  <c:y val="3.2407407407407406E-2"/>
                </c:manualLayout>
              </c:layout>
              <c:tx>
                <c:rich>
                  <a:bodyPr/>
                  <a:lstStyle/>
                  <a:p>
                    <a:fld id="{D129BA8F-2249-49CA-A6F2-70E16AE23C6B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 </a:t>
                    </a:r>
                    <a:fld id="{672D5492-6EB2-4CF8-BD50-9186431EDD93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9-C15A-425D-B92B-8FD7985EE292}"/>
                </c:ext>
              </c:extLst>
            </c:dLbl>
            <c:dLbl>
              <c:idx val="5"/>
              <c:layout>
                <c:manualLayout>
                  <c:x val="0.21541597874862417"/>
                  <c:y val="0.10998702835555943"/>
                </c:manualLayout>
              </c:layout>
              <c:tx>
                <c:rich>
                  <a:bodyPr/>
                  <a:lstStyle/>
                  <a:p>
                    <a:fld id="{7C42ACAE-07EC-46EB-81E9-8D39F4231B9E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 </a:t>
                    </a:r>
                    <a:fld id="{F370B61B-5136-45AF-9B93-E88C4388966D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B-C15A-425D-B92B-8FD7985EE292}"/>
                </c:ext>
              </c:extLst>
            </c:dLbl>
            <c:dLbl>
              <c:idx val="6"/>
              <c:layout>
                <c:manualLayout>
                  <c:x val="6.4622751322751318E-2"/>
                  <c:y val="0.17092151775825692"/>
                </c:manualLayout>
              </c:layout>
              <c:tx>
                <c:rich>
                  <a:bodyPr/>
                  <a:lstStyle/>
                  <a:p>
                    <a:fld id="{9EF03DFA-127E-478A-8BB5-75E69BB2D048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 </a:t>
                    </a:r>
                    <a:fld id="{941E950F-64BC-4B9E-999C-9948ACF6E510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D-C15A-425D-B92B-8FD7985EE292}"/>
                </c:ext>
              </c:extLst>
            </c:dLbl>
            <c:dLbl>
              <c:idx val="7"/>
              <c:layout>
                <c:manualLayout>
                  <c:x val="-0.10359973544973546"/>
                  <c:y val="-1.4423937614734574E-2"/>
                </c:manualLayout>
              </c:layout>
              <c:tx>
                <c:rich>
                  <a:bodyPr/>
                  <a:lstStyle/>
                  <a:p>
                    <a:fld id="{27A2EF9D-A339-4725-8AD7-EAE73872A6CA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 </a:t>
                    </a:r>
                  </a:p>
                  <a:p>
                    <a:fld id="{2849CE72-AEBD-409B-85FC-07F6DCB3653F}" type="PERCENTAGE">
                      <a:rPr lang="en-US" baseline="0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F-C15A-425D-B92B-8FD7985EE292}"/>
                </c:ext>
              </c:extLst>
            </c:dLbl>
            <c:dLbl>
              <c:idx val="8"/>
              <c:layout>
                <c:manualLayout>
                  <c:x val="7.2463768115942032E-2"/>
                  <c:y val="-0.13888888888888892"/>
                </c:manualLayout>
              </c:layout>
              <c:tx>
                <c:rich>
                  <a:bodyPr/>
                  <a:lstStyle/>
                  <a:p>
                    <a:fld id="{F0D07635-8347-4C19-BF23-7A7A2F3EB6AD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 </a:t>
                    </a:r>
                    <a:fld id="{BDD5E3EE-CB80-4481-9D08-A91AFC4BCBAD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1-C15A-425D-B92B-8FD7985EE292}"/>
                </c:ext>
              </c:extLst>
            </c:dLbl>
            <c:dLbl>
              <c:idx val="9"/>
              <c:layout>
                <c:manualLayout>
                  <c:x val="0.17101449275362318"/>
                  <c:y val="-0.13888888888888892"/>
                </c:manualLayout>
              </c:layout>
              <c:tx>
                <c:rich>
                  <a:bodyPr/>
                  <a:lstStyle/>
                  <a:p>
                    <a:fld id="{C6E0D2E7-8A80-4C09-B9FA-A2A4F8BEC03B}" type="CELLRANGE">
                      <a:rPr lang="en-US" baseline="0"/>
                      <a:pPr/>
                      <a:t>[CELLRANGE]</a:t>
                    </a:fld>
                    <a:r>
                      <a:rPr lang="en-US" baseline="0"/>
                      <a:t> </a:t>
                    </a:r>
                    <a:fld id="{C7FBE2A6-2F96-4840-A409-1DA7E96EBDD6}" type="PERCENTAGE">
                      <a:rPr lang="en-US" baseline="0"/>
                      <a:pPr/>
                      <a:t>[PERCENTAGE]</a:t>
                    </a:fld>
                    <a:endParaRPr lang="en-US" baseline="0"/>
                  </a:p>
                </c:rich>
              </c:tx>
              <c:showLegendKey val="0"/>
              <c:showVal val="0"/>
              <c:showCatName val="0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13-C15A-425D-B92B-8FD7985EE29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howDataLabelsRange val="1"/>
              </c:ext>
            </c:extLst>
          </c:dLbls>
          <c:val>
            <c:numRef>
              <c:f>'Chapt 3'!$I$7:$I$16</c:f>
              <c:numCache>
                <c:formatCode>General</c:formatCode>
                <c:ptCount val="10"/>
                <c:pt idx="0">
                  <c:v>66</c:v>
                </c:pt>
                <c:pt idx="1">
                  <c:v>76</c:v>
                </c:pt>
                <c:pt idx="2">
                  <c:v>1530</c:v>
                </c:pt>
                <c:pt idx="3">
                  <c:v>13</c:v>
                </c:pt>
                <c:pt idx="4">
                  <c:v>75</c:v>
                </c:pt>
                <c:pt idx="5">
                  <c:v>4</c:v>
                </c:pt>
                <c:pt idx="6">
                  <c:v>389</c:v>
                </c:pt>
                <c:pt idx="7">
                  <c:v>5007</c:v>
                </c:pt>
                <c:pt idx="8">
                  <c:v>682</c:v>
                </c:pt>
                <c:pt idx="9">
                  <c:v>450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'Chapt 3'!$H$7:$H$16</c15:f>
                <c15:dlblRangeCache>
                  <c:ptCount val="10"/>
                  <c:pt idx="0">
                    <c:v>Acanthocephala</c:v>
                  </c:pt>
                  <c:pt idx="1">
                    <c:v>Annelida</c:v>
                  </c:pt>
                  <c:pt idx="2">
                    <c:v>Arthropoda</c:v>
                  </c:pt>
                  <c:pt idx="3">
                    <c:v>Chordata</c:v>
                  </c:pt>
                  <c:pt idx="4">
                    <c:v>Cnidaria</c:v>
                  </c:pt>
                  <c:pt idx="5">
                    <c:v>Myzozoa</c:v>
                  </c:pt>
                  <c:pt idx="6">
                    <c:v>Nematoda</c:v>
                  </c:pt>
                  <c:pt idx="7">
                    <c:v>Cestoda</c:v>
                  </c:pt>
                  <c:pt idx="8">
                    <c:v>Monogenea</c:v>
                  </c:pt>
                  <c:pt idx="9">
                    <c:v>Trematoda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14-C15A-425D-B92B-8FD7985EE292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65"/>
        <c:holeSize val="6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/>
              <a:t>Hosts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explosion val="13"/>
          <c:dPt>
            <c:idx val="0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69E6-4E68-913A-08644A47C439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69E6-4E68-913A-08644A47C439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69E6-4E68-913A-08644A47C439}"/>
              </c:ext>
            </c:extLst>
          </c:dPt>
          <c:dPt>
            <c:idx val="3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9E6-4E68-913A-08644A47C439}"/>
              </c:ext>
            </c:extLst>
          </c:dPt>
          <c:dPt>
            <c:idx val="4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69E6-4E68-913A-08644A47C439}"/>
              </c:ext>
            </c:extLst>
          </c:dPt>
          <c:dPt>
            <c:idx val="5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69E6-4E68-913A-08644A47C439}"/>
              </c:ext>
            </c:extLst>
          </c:dPt>
          <c:dPt>
            <c:idx val="6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69E6-4E68-913A-08644A47C439}"/>
              </c:ext>
            </c:extLst>
          </c:dPt>
          <c:dPt>
            <c:idx val="7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69E6-4E68-913A-08644A47C439}"/>
              </c:ext>
            </c:extLst>
          </c:dPt>
          <c:dPt>
            <c:idx val="8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69E6-4E68-913A-08644A47C439}"/>
              </c:ext>
            </c:extLst>
          </c:dPt>
          <c:dLbls>
            <c:dLbl>
              <c:idx val="0"/>
              <c:layout>
                <c:manualLayout>
                  <c:x val="0.19864693873303188"/>
                  <c:y val="-3.5150983706607457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69E6-4E68-913A-08644A47C439}"/>
                </c:ext>
              </c:extLst>
            </c:dLbl>
            <c:dLbl>
              <c:idx val="1"/>
              <c:layout>
                <c:manualLayout>
                  <c:x val="0.1587046672936126"/>
                  <c:y val="-3.3691873083542788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1957798038403095"/>
                      <c:h val="0.1204189613581539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3-69E6-4E68-913A-08644A47C439}"/>
                </c:ext>
              </c:extLst>
            </c:dLbl>
            <c:dLbl>
              <c:idx val="2"/>
              <c:layout>
                <c:manualLayout>
                  <c:x val="0.16090453569336891"/>
                  <c:y val="-6.4814983387192202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69E6-4E68-913A-08644A47C439}"/>
                </c:ext>
              </c:extLst>
            </c:dLbl>
            <c:dLbl>
              <c:idx val="3"/>
              <c:layout>
                <c:manualLayout>
                  <c:x val="0.18645539142317955"/>
                  <c:y val="0.11887184622153445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69E6-4E68-913A-08644A47C439}"/>
                </c:ext>
              </c:extLst>
            </c:dLbl>
            <c:dLbl>
              <c:idx val="4"/>
              <c:layout>
                <c:manualLayout>
                  <c:x val="0.21104981584963167"/>
                  <c:y val="2.9436909259174884E-2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794428922191173"/>
                      <c:h val="0.11546242774566474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9-69E6-4E68-913A-08644A47C439}"/>
                </c:ext>
              </c:extLst>
            </c:dLbl>
            <c:dLbl>
              <c:idx val="5"/>
              <c:layout>
                <c:manualLayout>
                  <c:x val="0.20541788681373507"/>
                  <c:y val="0.1783077693323016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B-69E6-4E68-913A-08644A47C439}"/>
                </c:ext>
              </c:extLst>
            </c:dLbl>
            <c:dLbl>
              <c:idx val="6"/>
              <c:layout>
                <c:manualLayout>
                  <c:x val="1.0835556712435638E-2"/>
                  <c:y val="0.18387381851834994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D-69E6-4E68-913A-08644A47C439}"/>
                </c:ext>
              </c:extLst>
            </c:dLbl>
            <c:dLbl>
              <c:idx val="7"/>
              <c:layout>
                <c:manualLayout>
                  <c:x val="-0.14975115887731774"/>
                  <c:y val="2.9714547964741402E-2"/>
                </c:manualLayout>
              </c:layout>
              <c:tx>
                <c:rich>
                  <a:bodyPr/>
                  <a:lstStyle/>
                  <a:p>
                    <a:fld id="{A4870343-1509-48B2-8D35-90FE60F9C8C0}" type="CATEGORYNAME">
                      <a:rPr lang="en-US"/>
                      <a:pPr/>
                      <a:t>[CATEGORY NAME]</a:t>
                    </a:fld>
                    <a:r>
                      <a:rPr lang="en-US"/>
                      <a:t> </a:t>
                    </a:r>
                  </a:p>
                  <a:p>
                    <a:fld id="{43279CB5-FA45-4861-8976-4532CFE36559}" type="PERCENTAGE">
                      <a:rPr lang="en-US"/>
                      <a:pPr/>
                      <a:t>[PERCENTAGE]</a:t>
                    </a:fld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5317738760477515"/>
                      <c:h val="0.17380600185092471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F-69E6-4E68-913A-08644A47C439}"/>
                </c:ext>
              </c:extLst>
            </c:dLbl>
            <c:dLbl>
              <c:idx val="8"/>
              <c:layout>
                <c:manualLayout>
                  <c:x val="0.19369074074074061"/>
                  <c:y val="-0.1297156858282888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11-69E6-4E68-913A-08644A47C43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'Chapt 3'!$P$7:$P$15</c:f>
              <c:strCache>
                <c:ptCount val="9"/>
                <c:pt idx="0">
                  <c:v>Arthropoda</c:v>
                </c:pt>
                <c:pt idx="1">
                  <c:v>Actinopterygii</c:v>
                </c:pt>
                <c:pt idx="2">
                  <c:v>Aves</c:v>
                </c:pt>
                <c:pt idx="3">
                  <c:v>Cnidaria</c:v>
                </c:pt>
                <c:pt idx="4">
                  <c:v>Echinodermata</c:v>
                </c:pt>
                <c:pt idx="5">
                  <c:v>Mammalia</c:v>
                </c:pt>
                <c:pt idx="6">
                  <c:v>Holocephali</c:v>
                </c:pt>
                <c:pt idx="7">
                  <c:v>Elasmobranchii</c:v>
                </c:pt>
                <c:pt idx="8">
                  <c:v>Mollusca</c:v>
                </c:pt>
              </c:strCache>
            </c:strRef>
          </c:cat>
          <c:val>
            <c:numRef>
              <c:f>'Chapt 3'!$Q$7:$Q$15</c:f>
              <c:numCache>
                <c:formatCode>General</c:formatCode>
                <c:ptCount val="9"/>
                <c:pt idx="0">
                  <c:v>25</c:v>
                </c:pt>
                <c:pt idx="1">
                  <c:v>974</c:v>
                </c:pt>
                <c:pt idx="2">
                  <c:v>110</c:v>
                </c:pt>
                <c:pt idx="3">
                  <c:v>2</c:v>
                </c:pt>
                <c:pt idx="4">
                  <c:v>1</c:v>
                </c:pt>
                <c:pt idx="5">
                  <c:v>174</c:v>
                </c:pt>
                <c:pt idx="6">
                  <c:v>113</c:v>
                </c:pt>
                <c:pt idx="7">
                  <c:v>6885</c:v>
                </c:pt>
                <c:pt idx="8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69E6-4E68-913A-08644A47C43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65"/>
        <c:holeSize val="6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Arial" panose="020B0604020202020204" pitchFamily="34" charset="0"/>
          <a:cs typeface="Arial" panose="020B06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5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Morris</dc:creator>
  <cp:keywords/>
  <dc:description/>
  <cp:lastModifiedBy>Thomas Morris</cp:lastModifiedBy>
  <cp:revision>3</cp:revision>
  <dcterms:created xsi:type="dcterms:W3CDTF">2021-04-05T23:54:00Z</dcterms:created>
  <dcterms:modified xsi:type="dcterms:W3CDTF">2021-04-13T22:50:00Z</dcterms:modified>
</cp:coreProperties>
</file>