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Bdr>
          <w:bottom w:val="single" w:sz="12" w:space="4" w:color="1A73E8"/>
        </w:pBdr>
      </w:pPr>
      <w:r>
        <w:rPr>
          <w:rFonts w:ascii="Arial" w:hAnsi="Arial"/>
          <w:b/>
          <w:color w:val="1A73E8"/>
          <w:sz w:val="36"/>
        </w:rPr>
        <w:t>Google Cloud Global Oil &amp; Gas Industry Strategy</w:t>
      </w:r>
    </w:p>
    <w:p>
      <w:pPr>
        <w:spacing w:before="40" w:after="80" w:line="276" w:lineRule="auto"/>
      </w:pPr>
      <w:r>
        <w:rPr>
          <w:b/>
        </w:rPr>
        <w:t>Executive Strategy &amp; Market Execution Roadmap</w:t>
      </w:r>
    </w:p>
    <w:p>
      <w:pPr>
        <w:spacing w:before="40" w:after="80" w:line="276" w:lineRule="auto"/>
      </w:pPr>
      <w:r>
        <w:rPr>
          <w:b/>
        </w:rPr>
        <w:t>Google Cloud · Global Oil &amp; Gas Industry Team</w:t>
      </w:r>
    </w:p>
    <w:p>
      <w:pPr>
        <w:spacing w:before="40" w:after="80" w:line="276" w:lineRule="auto"/>
      </w:pPr>
      <w:r>
        <w:rPr>
          <w:b/>
        </w:rPr>
        <w:t>August 2026 · STRATEGIC EXECUTIVE BRIEFING · CONFIDENTIAL</w:t>
      </w:r>
    </w:p>
    <w:p>
      <w:pPr>
        <w:spacing w:before="40" w:after="80" w:line="276" w:lineRule="auto"/>
      </w:pPr>
      <w:r>
        <w:rPr>
          <w:b/>
        </w:rPr>
        <w:t>Revision 2 , Expanded Deep-Dive Edition (Parts II &amp; III)</w:t>
      </w:r>
    </w:p>
    <w:p>
      <w:pPr>
        <w:spacing w:before="80" w:after="80"/>
      </w:pPr>
    </w:p>
    <w:p>
      <w:pPr>
        <w:spacing w:before="40" w:after="80" w:line="276" w:lineRule="auto"/>
      </w:pPr>
      <w:r>
        <w:t xml:space="preserve">&gt; </w:t>
      </w:r>
      <w:r>
        <w:rPr>
          <w:b/>
        </w:rPr>
        <w:t>Analytical Methodology &amp; Source Integrity Note:</w:t>
      </w:r>
      <w:r>
        <w:t xml:space="preserve"> Parts II and III of this revision expand every operating pillar and competitive claim into a four-part structure , Core Architecture, Deep-Dive Mechanics, Critical Variables &amp; Edge Cases, and Comparative Trade-Offs , consistent with the analytical standard applied to Part I. Market-sizing figures in Part I carry named third-party citations (IEA, Gartner, IDC, Precedence Research, MarketsandMarkets, Global CCS Institute, SPE, McKinsey , full list in Appendix F) and are treated as externally verifiable. A subset of internal technical and account-specific figures (e.g., specific TCO percentages, benchmark wall-clock comparisons, and single-account revenue estimates) do not carry an independent third-party citation in the source material this document was built from; these are explicitly flagged inline as </w:t>
      </w:r>
      <w:r>
        <w:rPr>
          <w:rFonts w:ascii="Consolas" w:hAnsi="Consolas"/>
          <w:color w:val="B81237"/>
          <w:sz w:val="18"/>
        </w:rPr>
        <w:t>[Data/Verification Required]</w:t>
      </w:r>
      <w:r>
        <w:t xml:space="preserve"> rather than presented with false precision. Before this document is used in a customer-facing or analyst-facing context, every flagged figure should be either substantiated with a reproducible internal benchmark/source or reframed as a directional estimate.</w:t>
      </w:r>
    </w:p>
    <w:p>
      <w:pPr>
        <w:spacing w:before="80" w:after="80"/>
      </w:pPr>
    </w:p>
    <w:p>
      <w:pPr>
        <w:keepNext/>
        <w:spacing w:before="280" w:after="80"/>
        <w:pBdr>
          <w:bottom w:val="single" w:sz="6" w:space="3" w:color="DADCE0"/>
        </w:pBdr>
      </w:pPr>
      <w:r>
        <w:rPr>
          <w:rFonts w:ascii="Arial" w:hAnsi="Arial"/>
          <w:b/>
          <w:color w:val="174EA6"/>
          <w:sz w:val="26"/>
        </w:rPr>
        <w:t>Executive Summary</w:t>
      </w:r>
    </w:p>
    <w:p>
      <w:pPr>
        <w:spacing w:before="40" w:after="80" w:line="276" w:lineRule="auto"/>
      </w:pPr>
      <w:r>
        <w:t>The global oil and gas industry is entering a period of unprecedented convergence. Six structural forces , the AI compute inflection, a multi-decade data fragmentation crisis, an aging technical workforce, mandatory sovereign data residency laws, capital discipline &amp; operational ROI mandates, and the accelerating energy transition , are simultaneously reshaping how the world's largest energy operators invest in technology. For Google Cloud, this convergence represents a generational opportunity to redefine our position in one of the world's most capital-intensive verticals.</w:t>
      </w:r>
    </w:p>
    <w:p>
      <w:pPr>
        <w:spacing w:before="40" w:after="80" w:line="276" w:lineRule="auto"/>
      </w:pPr>
      <w:r>
        <w:t xml:space="preserve">Today, the oil and gas sector generates </w:t>
      </w:r>
      <w:r>
        <w:rPr>
          <w:b/>
        </w:rPr>
        <w:t>$4.9 trillion in annual revenue</w:t>
      </w:r>
      <w:r>
        <w:t xml:space="preserve"> and spends </w:t>
      </w:r>
      <w:r>
        <w:rPr>
          <w:b/>
        </w:rPr>
        <w:t>$44 billion annually on IT and digital infrastructure</w:t>
      </w:r>
      <w:r>
        <w:t xml:space="preserve">, yet only </w:t>
      </w:r>
      <w:r>
        <w:rPr>
          <w:b/>
        </w:rPr>
        <w:t>~18% of O&amp;G workloads run on public cloud</w:t>
      </w:r>
      <w:r>
        <w:t xml:space="preserve"> (</w:t>
      </w:r>
      <w:r>
        <w:rPr>
          <w:color w:val="174EA6"/>
          <w:u w:val="single"/>
        </w:rPr>
        <w:t>IEA World Energy Outlook 2025</w:t>
      </w:r>
      <w:r>
        <w:t xml:space="preserve">; </w:t>
      </w:r>
      <w:r>
        <w:rPr>
          <w:color w:val="174EA6"/>
          <w:u w:val="single"/>
        </w:rPr>
        <w:t>Gartner IT Spending Forecast Q2 2025</w:t>
      </w:r>
      <w:r>
        <w:t xml:space="preserve">; </w:t>
      </w:r>
      <w:r>
        <w:rPr>
          <w:color w:val="174EA6"/>
          <w:u w:val="single"/>
        </w:rPr>
        <w:t>IDC Cloud Tracker 2025</w:t>
      </w:r>
      <w:r>
        <w:t xml:space="preserve">). Google Cloud currently holds approximately </w:t>
      </w:r>
      <w:r>
        <w:rPr>
          <w:b/>
        </w:rPr>
        <w:t>10% market share</w:t>
      </w:r>
      <w:r>
        <w:t xml:space="preserve"> in this vertical, trailing AWS at 37% and Microsoft Azure at 32%. This document presents a strategy to </w:t>
      </w:r>
      <w:r>
        <w:rPr>
          <w:b/>
        </w:rPr>
        <w:t>double our market share to 20% within three years</w:t>
      </w:r>
      <w:r>
        <w:t xml:space="preserve">, capturing a </w:t>
      </w:r>
      <w:r>
        <w:rPr>
          <w:b/>
        </w:rPr>
        <w:t>$3.2 billion serviceable obtainable market</w:t>
      </w:r>
      <w:r>
        <w:t xml:space="preserve"> from a total addressable market of </w:t>
      </w:r>
      <w:r>
        <w:rPr>
          <w:b/>
        </w:rPr>
        <w:t>$21 billion</w:t>
      </w:r>
      <w:r>
        <w:t xml:space="preserve"> by 2028.</w:t>
      </w:r>
    </w:p>
    <w:p>
      <w:pPr>
        <w:spacing w:before="40" w:after="80" w:line="276" w:lineRule="auto"/>
      </w:pPr>
      <w:r>
        <w:t>This is not a strategy built on competing symmetrically against AWS and Azure. It is built on five asymmetric advantages that only Google Cloud possesses:</w:t>
      </w:r>
    </w:p>
    <w:p>
      <w:pPr>
        <w:pStyle w:val="ListNumber"/>
        <w:spacing w:before="40" w:after="60" w:line="276" w:lineRule="auto"/>
      </w:pPr>
      <w:r>
        <w:rPr>
          <w:b/>
        </w:rPr>
        <w:t>Google AI &amp; Gemini Enterprise Platform</w:t>
      </w:r>
      <w:r>
        <w:t xml:space="preserve"> , the industry's most comprehensive end-to-end enterprise AI architecture, spanning Vertex AI Agent Builder, Gemini multimodal foundation models, governed agentic workflows over OSDU and industrial SCADA data, and Google Workspace integration for change management (backed by Gemini 3.5 Pro's 2-million-token context window) </w:t>
      </w:r>
      <w:r>
        <w:rPr>
          <w:b/>
          <w:color w:val="1A73E8"/>
          <w:sz w:val="17"/>
        </w:rPr>
        <w:t xml:space="preserve"> [See Appendix B.1 &amp; B.3] </w:t>
      </w:r>
      <w:r>
        <w:t>.</w:t>
      </w:r>
    </w:p>
    <w:p>
      <w:pPr>
        <w:pStyle w:val="ListNumber"/>
        <w:spacing w:before="40" w:after="60" w:line="276" w:lineRule="auto"/>
      </w:pPr>
      <w:r>
        <w:rPr>
          <w:b/>
        </w:rPr>
        <w:t>The Alphabet Portfolio</w:t>
      </w:r>
      <w:r>
        <w:t xml:space="preserve"> , DeepMind's frontier science engine, Google Earth Engine's unmatched satellite catalog, Tapestry's grid intelligence, and Google's own industrial-scale energy procurement organization , none of which AWS or Azure can replicate </w:t>
      </w:r>
      <w:r>
        <w:rPr>
          <w:b/>
          <w:color w:val="1A73E8"/>
          <w:sz w:val="17"/>
        </w:rPr>
        <w:t xml:space="preserve"> [See Appendix C.1 &amp; D.2] </w:t>
      </w:r>
      <w:r>
        <w:t>.</w:t>
      </w:r>
    </w:p>
    <w:p>
      <w:pPr>
        <w:pStyle w:val="ListNumber"/>
        <w:spacing w:before="40" w:after="60" w:line="276" w:lineRule="auto"/>
      </w:pPr>
      <w:r>
        <w:rPr>
          <w:b/>
        </w:rPr>
        <w:t>The Multicloud Co-Existence Wedge</w:t>
      </w:r>
      <w:r>
        <w:t xml:space="preserve"> , BigQuery Omni and BigLake's ability to query data in-place across AWS S3 and Azure ADLS without requiring data migration , removing the single largest objection in every competitive displacement </w:t>
      </w:r>
      <w:r>
        <w:rPr>
          <w:b/>
          <w:color w:val="1A73E8"/>
          <w:sz w:val="17"/>
        </w:rPr>
        <w:t xml:space="preserve"> [See Appendix A.1 &amp; B.1] </w:t>
      </w:r>
      <w:r>
        <w:t>.</w:t>
      </w:r>
    </w:p>
    <w:p>
      <w:pPr>
        <w:pStyle w:val="ListNumber"/>
        <w:spacing w:before="40" w:after="60" w:line="276" w:lineRule="auto"/>
      </w:pPr>
      <w:r>
        <w:rPr>
          <w:b/>
        </w:rPr>
        <w:t>The Energy Exchange</w:t>
      </w:r>
      <w:r>
        <w:t xml:space="preserve"> , Google's position as simultaneously the world's largest AI infrastructure builder </w:t>
      </w:r>
      <w:r>
        <w:rPr>
          <w:i/>
        </w:rPr>
        <w:t>and</w:t>
      </w:r>
      <w:r>
        <w:t xml:space="preserve"> one of the world's largest energy buyers , creating bilateral deal structures that no other technology company can offer </w:t>
      </w:r>
      <w:r>
        <w:rPr>
          <w:b/>
          <w:color w:val="1A73E8"/>
          <w:sz w:val="17"/>
        </w:rPr>
        <w:t xml:space="preserve"> [See Appendix D.1] </w:t>
      </w:r>
      <w:r>
        <w:t>.</w:t>
      </w:r>
    </w:p>
    <w:p>
      <w:pPr>
        <w:pStyle w:val="ListNumber"/>
        <w:spacing w:before="40" w:after="60" w:line="276" w:lineRule="auto"/>
      </w:pPr>
      <w:r>
        <w:rPr>
          <w:b/>
        </w:rPr>
        <w:t>Google Security for Critical Energy Infrastructure</w:t>
      </w:r>
      <w:r>
        <w:t xml:space="preserve"> , an end-to-end operational technology (OT/ICS) and cloud security framework combining Mandiant threat intelligence, Chronicle security operations, and Wiz cloud security posture management to protect SCADA networks, remote drilling rigs, and pipeline corridors against state-sponsored cyber threats </w:t>
      </w:r>
      <w:r>
        <w:rPr>
          <w:b/>
          <w:color w:val="1A73E8"/>
          <w:sz w:val="17"/>
        </w:rPr>
        <w:t xml:space="preserve"> [See Appendix B.1 &amp; C.3] </w:t>
      </w:r>
      <w:r>
        <w:t>.</w:t>
      </w:r>
    </w:p>
    <w:p>
      <w:pPr>
        <w:spacing w:before="40" w:after="80" w:line="276" w:lineRule="auto"/>
      </w:pPr>
      <w:r>
        <w:t xml:space="preserve">This strategy is organized around </w:t>
      </w:r>
      <w:r>
        <w:rPr>
          <w:b/>
        </w:rPr>
        <w:t>six operating pillars</w:t>
      </w:r>
      <w:r>
        <w:t xml:space="preserve">, each designed to compound the others, and executed through a disciplined </w:t>
      </w:r>
      <w:r>
        <w:rPr>
          <w:b/>
        </w:rPr>
        <w:t>90-day phased roadmap</w:t>
      </w:r>
      <w:r>
        <w:t xml:space="preserve"> with measurable exit criteria at each gate </w:t>
      </w:r>
      <w:r>
        <w:rPr>
          <w:b/>
          <w:color w:val="1A73E8"/>
          <w:sz w:val="17"/>
        </w:rPr>
        <w:t xml:space="preserve"> [See Appendix E.1 &amp; E.2] </w:t>
      </w:r>
      <w:r>
        <w:t>.</w:t>
      </w:r>
    </w:p>
    <w:p>
      <w:pPr>
        <w:spacing w:before="80" w:after="80"/>
      </w:pPr>
    </w:p>
    <w:p>
      <w:pPr>
        <w:keepNext/>
        <w:spacing w:before="280" w:after="80"/>
        <w:pBdr>
          <w:bottom w:val="single" w:sz="6" w:space="3" w:color="DADCE0"/>
        </w:pBdr>
      </w:pPr>
      <w:r>
        <w:rPr>
          <w:rFonts w:ascii="Arial" w:hAnsi="Arial"/>
          <w:b/>
          <w:color w:val="174EA6"/>
          <w:sz w:val="26"/>
        </w:rPr>
        <w:t>Part I: The Industry Landscape , Why This Market, Why Now</w:t>
      </w:r>
    </w:p>
    <w:p>
      <w:pPr>
        <w:keepNext/>
        <w:spacing w:before="200" w:after="60"/>
      </w:pPr>
      <w:r>
        <w:rPr>
          <w:rFonts w:ascii="Arial" w:hAnsi="Arial"/>
          <w:b/>
          <w:color w:val="202124"/>
          <w:sz w:val="22"/>
        </w:rPr>
        <w:t>1.1 The Scale of the Opportunity</w:t>
      </w:r>
    </w:p>
    <w:p>
      <w:pPr>
        <w:spacing w:before="40" w:after="80" w:line="276" w:lineRule="auto"/>
      </w:pPr>
      <w:r>
        <w:t>The oil and gas industry is not merely large , it is one of the most technology-intensive sectors in the global economy, and it is dramatically underserved by cloud providers. To understand the opportunity, consider the following market dimensions:</w:t>
      </w:r>
    </w:p>
    <w:p>
      <w:pPr>
        <w:spacing w:before="40" w:after="80" w:line="276" w:lineRule="auto"/>
      </w:pPr>
      <w:r>
        <w:t xml:space="preserve">The industry's </w:t>
      </w:r>
      <w:r>
        <w:rPr>
          <w:b/>
        </w:rPr>
        <w:t>$4.9 trillion annual revenue</w:t>
      </w:r>
      <w:r>
        <w:t xml:space="preserve"> is generated by operators managing some of the most complex physical systems on Earth , deepwater drilling platforms operating at pressures exceeding 20,000 PSI, LNG liquefaction trains processing millions of tonnes annually, pipeline networks spanning tens of thousands of kilometers, and refineries running continuous chemical processes that have not been shut down in decades. Each of these operations generates massive volumes of sensor data, geological data, operational data, and regulatory data , yet the vast majority of this data remains trapped in disconnected silos (</w:t>
      </w:r>
      <w:r>
        <w:rPr>
          <w:color w:val="174EA6"/>
          <w:u w:val="single"/>
        </w:rPr>
        <w:t>IEA World Energy Outlook 2025</w:t>
      </w:r>
      <w:r>
        <w:t>).</w:t>
      </w:r>
    </w:p>
    <w:p>
      <w:pPr>
        <w:spacing w:before="40" w:after="80" w:line="276" w:lineRule="auto"/>
      </w:pPr>
      <w:r>
        <w:t xml:space="preserve">The sector's </w:t>
      </w:r>
      <w:r>
        <w:rPr>
          <w:b/>
        </w:rPr>
        <w:t>$44 billion in annual IT spending</w:t>
      </w:r>
      <w:r>
        <w:t xml:space="preserve"> is growing at approximately 6-8% annually as operators invest in digital transformation, but </w:t>
      </w:r>
      <w:r>
        <w:rPr>
          <w:b/>
        </w:rPr>
        <w:t>cloud penetration remains at only ~18%</w:t>
      </w:r>
      <w:r>
        <w:t>, significantly below the cross-industry average of 40-45% (</w:t>
      </w:r>
      <w:r>
        <w:rPr>
          <w:color w:val="174EA6"/>
          <w:u w:val="single"/>
        </w:rPr>
        <w:t>Gartner IT Spending Forecast Q2 2025</w:t>
      </w:r>
      <w:r>
        <w:t>). This gap represents the single largest cloud adoption opportunity in any major industrial vertical.</w:t>
      </w:r>
    </w:p>
    <w:p>
      <w:pPr>
        <w:spacing w:before="40" w:after="80" w:line="276" w:lineRule="auto"/>
      </w:pPr>
      <w:r>
        <w:t xml:space="preserve">Within this broader market, two sub-segments are growing at exceptional rates. The </w:t>
      </w:r>
      <w:r>
        <w:rPr>
          <w:b/>
        </w:rPr>
        <w:t>AI and machine learning market in oil and gas</w:t>
      </w:r>
      <w:r>
        <w:t xml:space="preserve"> is valued at </w:t>
      </w:r>
      <w:r>
        <w:rPr>
          <w:b/>
        </w:rPr>
        <w:t>$5.4 billion today</w:t>
      </w:r>
      <w:r>
        <w:t xml:space="preserve"> and is projected to reach </w:t>
      </w:r>
      <w:r>
        <w:rPr>
          <w:b/>
        </w:rPr>
        <w:t>$18.7 billion by 2035</w:t>
      </w:r>
      <w:r>
        <w:t>, growing at a 13% CAGR (</w:t>
      </w:r>
      <w:r>
        <w:rPr>
          <w:color w:val="174EA6"/>
          <w:u w:val="single"/>
        </w:rPr>
        <w:t>Precedence Research 2025</w:t>
      </w:r>
      <w:r>
        <w:t xml:space="preserve">). The </w:t>
      </w:r>
      <w:r>
        <w:rPr>
          <w:b/>
        </w:rPr>
        <w:t>digital oilfield solutions market</w:t>
      </w:r>
      <w:r>
        <w:t xml:space="preserve"> stands at </w:t>
      </w:r>
      <w:r>
        <w:rPr>
          <w:b/>
        </w:rPr>
        <w:t>$37 billion</w:t>
      </w:r>
      <w:r>
        <w:t xml:space="preserve"> and is projected to reach </w:t>
      </w:r>
      <w:r>
        <w:rPr>
          <w:b/>
        </w:rPr>
        <w:t>$43 billion by 2029</w:t>
      </w:r>
      <w:r>
        <w:t>, driven by the adoption of IoT, edge computing, and predictive analytics across field operations (</w:t>
      </w:r>
      <w:r>
        <w:rPr>
          <w:color w:val="174EA6"/>
          <w:u w:val="single"/>
        </w:rPr>
        <w:t>MarketsandMarkets 2025</w:t>
      </w:r>
      <w:r>
        <w:t>).</w:t>
      </w:r>
    </w:p>
    <w:p>
      <w:pPr>
        <w:spacing w:before="40" w:after="80" w:line="276" w:lineRule="auto"/>
      </w:pPr>
      <w:r>
        <w:t xml:space="preserve">Meanwhile, the </w:t>
      </w:r>
      <w:r>
        <w:rPr>
          <w:b/>
        </w:rPr>
        <w:t>CCUS (Carbon Capture, Utilization, and Storage) investment pipeline</w:t>
      </w:r>
      <w:r>
        <w:t xml:space="preserve"> has surpassed </w:t>
      </w:r>
      <w:r>
        <w:rPr>
          <w:b/>
        </w:rPr>
        <w:t>$5 billion annually</w:t>
      </w:r>
      <w:r>
        <w:t>, a 15× increase since 2020, with 77 CCUS facilities now operating globally and 47 additional projects under construction (</w:t>
      </w:r>
      <w:r>
        <w:rPr>
          <w:color w:val="174EA6"/>
          <w:u w:val="single"/>
        </w:rPr>
        <w:t>Global CCS Institute Status Report 2025</w:t>
      </w:r>
      <w:r>
        <w:t xml:space="preserve">) </w:t>
      </w:r>
      <w:r>
        <w:rPr>
          <w:b/>
          <w:color w:val="1A73E8"/>
          <w:sz w:val="17"/>
        </w:rPr>
        <w:t xml:space="preserve"> [See Appendix D.3] </w:t>
      </w:r>
      <w:r>
        <w:t>. This represents an entirely new technology platform market that did not exist at meaningful scale five years ago , and one where no hyperscaler has yet established dominance.</w:t>
      </w:r>
    </w:p>
    <w:p>
      <w:pPr>
        <w:keepNext/>
        <w:spacing w:before="200" w:after="60"/>
      </w:pPr>
      <w:r>
        <w:rPr>
          <w:rFonts w:ascii="Arial" w:hAnsi="Arial"/>
          <w:b/>
          <w:color w:val="202124"/>
          <w:sz w:val="22"/>
        </w:rPr>
        <w:t>1.2 Six Structural Forces Driving Urgency</w:t>
      </w:r>
    </w:p>
    <w:p>
      <w:pPr>
        <w:spacing w:before="40" w:after="80" w:line="276" w:lineRule="auto"/>
      </w:pPr>
      <w:r>
        <w:t xml:space="preserve">The reason this opportunity is actionable </w:t>
      </w:r>
      <w:r>
        <w:rPr>
          <w:i/>
        </w:rPr>
        <w:t>now</w:t>
      </w:r>
      <w:r>
        <w:t xml:space="preserve"> , rather than being a long-term horizon play , is the simultaneous convergence of six structural forces that are compelling operators to make technology platform decisions in the next 12–24 months.</w:t>
      </w:r>
    </w:p>
    <w:p>
      <w:pPr>
        <w:spacing w:before="40" w:after="80" w:line="276" w:lineRule="auto"/>
      </w:pPr>
      <w:r>
        <w:rPr>
          <w:b/>
        </w:rPr>
        <w:t>Force 1: The AI Inflection Point.</w:t>
      </w:r>
      <w:r>
        <w:t xml:space="preserve"> Energy companies find themselves on both sides of the AI revolution. As operators, they need AI to optimize production, reduce non-productive time, predict equipment failures, and accelerate subsurface interpretation. As energy suppliers, they are the providers of the firm, dispatchable power that AI data centers require. AI-driven workflows are already delivering </w:t>
      </w:r>
      <w:r>
        <w:rPr>
          <w:b/>
        </w:rPr>
        <w:t>20% efficiency gains</w:t>
      </w:r>
      <w:r>
        <w:t xml:space="preserve"> in early-adopter operations, and data centers are projected to consume as much electricity as entire nations by 2030 (</w:t>
      </w:r>
      <w:r>
        <w:rPr>
          <w:color w:val="174EA6"/>
          <w:u w:val="single"/>
        </w:rPr>
        <w:t>IEA Electricity 2024</w:t>
      </w:r>
      <w:r>
        <w:t xml:space="preserve">). This dual positioning creates a unique bilateral commercial opportunity that we exploit through Project Interchange </w:t>
      </w:r>
      <w:r>
        <w:rPr>
          <w:b/>
          <w:color w:val="1A73E8"/>
          <w:sz w:val="17"/>
        </w:rPr>
        <w:t xml:space="preserve"> [See Appendix D.1] </w:t>
      </w:r>
      <w:r>
        <w:t>.</w:t>
      </w:r>
    </w:p>
    <w:p>
      <w:pPr>
        <w:spacing w:before="40" w:after="80" w:line="276" w:lineRule="auto"/>
      </w:pPr>
      <w:r>
        <w:rPr>
          <w:b/>
        </w:rPr>
        <w:t>Force 2: The Data Fragmentation Crisis.</w:t>
      </w:r>
      <w:r>
        <w:t xml:space="preserve"> The average major operator manages </w:t>
      </w:r>
      <w:r>
        <w:rPr>
          <w:b/>
        </w:rPr>
        <w:t>20–30 years of siloed data</w:t>
      </w:r>
      <w:r>
        <w:t xml:space="preserve"> spread across OSDU data platforms, PI/OSIsoft historians, legacy paper well logs, SAP and Oracle ERPs, Petrel and Techlog interpretation environments, and dozens of custom databases. The economic cost of this fragmentation , in duplicated analysis, missed correlations, slow decision cycles, and regulatory non-compliance , has escalated from an IT inconvenience to a </w:t>
      </w:r>
      <w:r>
        <w:rPr>
          <w:b/>
        </w:rPr>
        <w:t>board-level risk</w:t>
      </w:r>
      <w:r>
        <w:t xml:space="preserve"> (</w:t>
      </w:r>
      <w:r>
        <w:rPr>
          <w:color w:val="174EA6"/>
          <w:u w:val="single"/>
        </w:rPr>
        <w:t>SPE Digital Energy Conference 2025</w:t>
      </w:r>
      <w:r>
        <w:t xml:space="preserve">). Operators are now actively seeking platforms that can reason across these silos without requiring the politically impossible task of consolidating them , precisely what our Gemini-powered enterprise AI platform delivers </w:t>
      </w:r>
      <w:r>
        <w:rPr>
          <w:b/>
          <w:color w:val="1A73E8"/>
          <w:sz w:val="17"/>
        </w:rPr>
        <w:t xml:space="preserve"> [See Appendix B.3] </w:t>
      </w:r>
      <w:r>
        <w:t>.</w:t>
      </w:r>
    </w:p>
    <w:p>
      <w:pPr>
        <w:spacing w:before="40" w:after="80" w:line="276" w:lineRule="auto"/>
      </w:pPr>
      <w:r>
        <w:rPr>
          <w:b/>
        </w:rPr>
        <w:t>Force 3: The Workforce Aging Crisis.</w:t>
      </w:r>
      <w:r>
        <w:t xml:space="preserve"> The average age of an upstream geoscientist now exceeds </w:t>
      </w:r>
      <w:r>
        <w:rPr>
          <w:b/>
        </w:rPr>
        <w:t>50 years</w:t>
      </w:r>
      <w:r>
        <w:t>, and a significant share of the experienced technical workforce is expected to retire by 2030 (</w:t>
      </w:r>
      <w:r>
        <w:rPr>
          <w:color w:val="174EA6"/>
          <w:u w:val="single"/>
        </w:rPr>
        <w:t>SPE/AAPG Workforce Surveys 2024–2025</w:t>
      </w:r>
      <w:r>
        <w:t>). These are the professionals who carry decades of interpretive judgment about specific basins, formations, and operating environments , knowledge that cannot be replaced by hiring alone. Agentic AI that can encode, preserve, and augment this institutional knowledge is not an efficiency play; it is a workforce continuity strategy that boards are beginning to treat as existential.</w:t>
      </w:r>
    </w:p>
    <w:p>
      <w:pPr>
        <w:spacing w:before="40" w:after="80" w:line="276" w:lineRule="auto"/>
      </w:pPr>
      <w:r>
        <w:rPr>
          <w:b/>
        </w:rPr>
        <w:t>Force 4: Sovereign AI and Critical Infrastructure Security Mandates.</w:t>
      </w:r>
      <w:r>
        <w:t xml:space="preserve"> National oil companies in Saudi Arabia, Qatar, Kuwait, Indonesia, Thailand, and Japan are subject to increasingly strict data residency laws and cybersecurity directives mandating in-country processing and defense of sensitive OT/ICS environments. Saudi Arabia's NCA regulations, US TSA Security Directives for pipelines, EU NIS2 directives, and Japan's sovereign AI guidelines create hard requirements for in-country, zero-trust cloud infrastructure (</w:t>
      </w:r>
      <w:r>
        <w:rPr>
          <w:color w:val="174EA6"/>
          <w:u w:val="single"/>
        </w:rPr>
        <w:t>Saudi NCA Regulations</w:t>
      </w:r>
      <w:r>
        <w:t xml:space="preserve">). These requirements differentiate cloud providers sharply , and Google Cloud's sovereign region portfolio and Mandiant threat defense position us to serve NOC workloads that neither AWS nor Azure can fully address today </w:t>
      </w:r>
      <w:r>
        <w:rPr>
          <w:b/>
          <w:color w:val="1A73E8"/>
          <w:sz w:val="17"/>
        </w:rPr>
        <w:t xml:space="preserve"> [See Appendix C.3] </w:t>
      </w:r>
      <w:r>
        <w:t>.</w:t>
      </w:r>
    </w:p>
    <w:p>
      <w:pPr>
        <w:spacing w:before="40" w:after="80" w:line="276" w:lineRule="auto"/>
      </w:pPr>
      <w:r>
        <w:rPr>
          <w:b/>
        </w:rPr>
        <w:t>Force 5: Energy Transition and CCUS.</w:t>
      </w:r>
      <w:r>
        <w:t xml:space="preserve"> Clean energy investment surpassed fossil fuel investment for the first time in 2025. Operators must simultaneously grow production to meet near-term demand </w:t>
      </w:r>
      <w:r>
        <w:rPr>
          <w:i/>
        </w:rPr>
        <w:t>and</w:t>
      </w:r>
      <w:r>
        <w:t xml:space="preserve"> decarbonize their operations to meet net-zero commitments. CCUS project pipelines have grown at </w:t>
      </w:r>
      <w:r>
        <w:rPr>
          <w:b/>
        </w:rPr>
        <w:t>30%+ CAGR since 2017</w:t>
      </w:r>
      <w:r>
        <w:t>, creating a new category of technology-intensive operations , CO₂ capture, transport, injection monitoring, and regulatory compliance , that require purpose-built digital platforms (</w:t>
      </w:r>
      <w:r>
        <w:rPr>
          <w:color w:val="174EA6"/>
          <w:u w:val="single"/>
        </w:rPr>
        <w:t>Global CCS Institute Status Report 2025</w:t>
      </w:r>
      <w:r>
        <w:t xml:space="preserve">). The CCUS platform market is currently unowned by any hyperscaler, and our SLB partnership positions us to claim it </w:t>
      </w:r>
      <w:r>
        <w:rPr>
          <w:b/>
          <w:color w:val="1A73E8"/>
          <w:sz w:val="17"/>
        </w:rPr>
        <w:t xml:space="preserve"> [See Appendix D.3] </w:t>
      </w:r>
      <w:r>
        <w:t>.</w:t>
      </w:r>
    </w:p>
    <w:p>
      <w:pPr>
        <w:spacing w:before="40" w:after="80" w:line="276" w:lineRule="auto"/>
      </w:pPr>
      <w:r>
        <w:rPr>
          <w:b/>
        </w:rPr>
        <w:t>Force 6: Capital Discipline and Operational ROI.</w:t>
      </w:r>
      <w:r>
        <w:t xml:space="preserve"> Faced with macroeconomic volatility and strict investor mandates prioritizing free cash flow over unconstrained production growth, operators can no longer afford multi-year, low-ROI IT transformations. AI initiatives must demonstrate immediate, tangible financial returns. Targeted AI applications that reduce Non-Productive Time (NPT) by 15–25%, optimize well placement, and lower lifting costs deliver board-level margin expansion in months rather than years (</w:t>
      </w:r>
      <w:r>
        <w:rPr>
          <w:color w:val="174EA6"/>
          <w:u w:val="single"/>
        </w:rPr>
        <w:t>McKinsey Energy Insights 2025</w:t>
      </w:r>
      <w:r>
        <w:t>).</w:t>
      </w:r>
    </w:p>
    <w:p>
      <w:pPr>
        <w:keepNext/>
        <w:spacing w:before="200" w:after="60"/>
      </w:pPr>
      <w:r>
        <w:rPr>
          <w:rFonts w:ascii="Arial" w:hAnsi="Arial"/>
          <w:b/>
          <w:color w:val="202124"/>
          <w:sz w:val="22"/>
        </w:rPr>
        <w:t>1.3 Market Sizing: TAM, SAM, and SOM</w:t>
      </w:r>
    </w:p>
    <w:p>
      <w:pPr>
        <w:spacing w:before="40" w:after="80" w:line="276" w:lineRule="auto"/>
      </w:pPr>
      <w:r>
        <w:t>We structure our addressable market across three concentric tiers:</w:t>
      </w:r>
    </w:p>
    <w:p>
      <w:pPr>
        <w:spacing w:before="40" w:after="80" w:line="276" w:lineRule="auto"/>
      </w:pPr>
      <w:r>
        <w:t xml:space="preserve">The </w:t>
      </w:r>
      <w:r>
        <w:rPr>
          <w:b/>
        </w:rPr>
        <w:t>Total Addressable Market (TAM)</w:t>
      </w:r>
      <w:r>
        <w:t xml:space="preserve"> of </w:t>
      </w:r>
      <w:r>
        <w:rPr>
          <w:b/>
        </w:rPr>
        <w:t>$21.0 billion by 2028</w:t>
      </w:r>
      <w:r>
        <w:t xml:space="preserve"> encompasses all cloud, data, and AI infrastructure spending across upstream, midstream, and downstream oil and gas operations globally. This figure is derived from IDC Cloud Tracker and Straits Research projections for energy vertical cloud adoption (</w:t>
      </w:r>
      <w:r>
        <w:rPr>
          <w:color w:val="174EA6"/>
          <w:u w:val="single"/>
        </w:rPr>
        <w:t>IDC Cloud Tracker 2025</w:t>
      </w:r>
      <w:r>
        <w:t>).</w:t>
      </w:r>
    </w:p>
    <w:p>
      <w:pPr>
        <w:spacing w:before="40" w:after="80" w:line="276" w:lineRule="auto"/>
      </w:pPr>
      <w:r>
        <w:t xml:space="preserve">The </w:t>
      </w:r>
      <w:r>
        <w:rPr>
          <w:b/>
        </w:rPr>
        <w:t>Serviceable Addressable Market (SAM)</w:t>
      </w:r>
      <w:r>
        <w:t xml:space="preserve"> of </w:t>
      </w:r>
      <w:r>
        <w:rPr>
          <w:b/>
        </w:rPr>
        <w:t>$9.5 billion</w:t>
      </w:r>
      <w:r>
        <w:t xml:space="preserve"> represents the subset of workloads where Google Cloud has a differentiated right to win: Google AI &amp; Gemini Enterprise workloads (where governed agentic AI is decisive), sovereign NOC deployments, critical infrastructure OT security (Mandiant + Chronicle + Wiz), subsurface HPC computing (where TPU economics are superior), and CCUS digital platforms (where our SLB partnership is unique). This SAM excludes commodity IaaS workloads where we have no structural advantage (</w:t>
      </w:r>
      <w:r>
        <w:rPr>
          <w:color w:val="174EA6"/>
          <w:u w:val="single"/>
        </w:rPr>
        <w:t>Gartner O&amp;G Vertical Cloud Analysis 2025</w:t>
      </w:r>
      <w:r>
        <w:t>).</w:t>
      </w:r>
    </w:p>
    <w:p>
      <w:pPr>
        <w:spacing w:before="40" w:after="80" w:line="276" w:lineRule="auto"/>
      </w:pPr>
      <w:r>
        <w:t xml:space="preserve">The </w:t>
      </w:r>
      <w:r>
        <w:rPr>
          <w:b/>
        </w:rPr>
        <w:t>Serviceable Obtainable Market (SOM)</w:t>
      </w:r>
      <w:r>
        <w:t xml:space="preserve"> of </w:t>
      </w:r>
      <w:r>
        <w:rPr>
          <w:b/>
        </w:rPr>
        <w:t>$3.2 billion</w:t>
      </w:r>
      <w:r>
        <w:t xml:space="preserve"> represents the realistic three-year capture from our 33 named accounts, calibrated against pipeline maturity, competitive entrenchment, and execution capacity </w:t>
      </w:r>
      <w:r>
        <w:rPr>
          <w:b/>
          <w:color w:val="1A73E8"/>
          <w:sz w:val="17"/>
        </w:rPr>
        <w:t xml:space="preserve"> [See Appendix A.1] </w:t>
      </w:r>
      <w:r>
        <w:t>.</w:t>
      </w:r>
    </w:p>
    <w:p>
      <w:pPr>
        <w:keepNext/>
        <w:spacing w:before="200" w:after="60"/>
      </w:pPr>
      <w:r>
        <w:rPr>
          <w:rFonts w:ascii="Arial" w:hAnsi="Arial"/>
          <w:b/>
          <w:color w:val="202124"/>
          <w:sz w:val="22"/>
        </w:rPr>
        <w:t>1.4 Cloud Market Share and Competitive Position</w:t>
      </w:r>
    </w:p>
    <w:p>
      <w:pPr>
        <w:spacing w:before="40" w:after="80" w:line="276" w:lineRule="auto"/>
      </w:pPr>
      <w:r>
        <w:t xml:space="preserve">Understanding where we stand competitively is essential to understanding why a different strategy is required. Today's market share distribution in the O&amp;G vertical reflects historical enterprise relationships and migration-era decisions, not current technical superiority </w:t>
      </w:r>
      <w:r>
        <w:rPr>
          <w:b/>
          <w:color w:val="1A73E8"/>
          <w:sz w:val="17"/>
        </w:rPr>
        <w:t xml:space="preserve"> [See Appendix B.1] </w:t>
      </w:r>
      <w:r>
        <w:t>:</w:t>
      </w:r>
    </w:p>
    <w:p>
      <w:pPr>
        <w:spacing w:before="40" w:after="80" w:line="276" w:lineRule="auto"/>
      </w:pPr>
      <w:r>
        <w:rPr>
          <w:b/>
        </w:rPr>
        <w:t>AWS holds 37% market share</w:t>
      </w:r>
      <w:r>
        <w:t>, anchored by deep relationships with Shell, Oxy, Aker BP, TGS, ENI, and Petrobras. AWS's strength is infrastructure scale and breadth of services, but its AI capabilities lag Google's in enterprise agentic orchestration, reasoning depth, and custom silicon economics.</w:t>
      </w:r>
    </w:p>
    <w:p>
      <w:pPr>
        <w:spacing w:before="40" w:after="80" w:line="276" w:lineRule="auto"/>
      </w:pPr>
      <w:r>
        <w:rPr>
          <w:b/>
        </w:rPr>
        <w:t>Microsoft Azure holds 32%</w:t>
      </w:r>
      <w:r>
        <w:t>, anchored by Chevron, Equinor, Devon, ADNOC, and Petronas. Azure's strength is enterprise integration (Office 365, Teams, Dynamics) and existing Microsoft EA agreements, but its multicloud federation capabilities are weaker than Google's, and its sovereign OT security integration is less mature.</w:t>
      </w:r>
    </w:p>
    <w:p>
      <w:pPr>
        <w:spacing w:before="40" w:after="80" w:line="276" w:lineRule="auto"/>
      </w:pPr>
      <w:r>
        <w:rPr>
          <w:b/>
        </w:rPr>
        <w:t>Google Cloud holds 10%</w:t>
      </w:r>
      <w:r>
        <w:t>, with anchor relationships including Pertamina, PTTEP, Reliance Industries, and TotalEnergies (via SLB). Our position is smaller but strategically positioned , we hold the sovereign APAC franchise, the SLB technology partnership, Mandiant's critical infrastructure defense, and the most advanced enterprise AI platform in market.</w:t>
      </w:r>
    </w:p>
    <w:p>
      <w:pPr>
        <w:spacing w:before="40" w:after="80" w:line="276" w:lineRule="auto"/>
      </w:pPr>
      <w:r>
        <w:rPr>
          <w:b/>
        </w:rPr>
        <w:t>Our three-year target is 20% market share</w:t>
      </w:r>
      <w:r>
        <w:t xml:space="preserve">, which translates to approximately </w:t>
      </w:r>
      <w:r>
        <w:rPr>
          <w:b/>
        </w:rPr>
        <w:t>$1.96 billion in annual recurring revenue</w:t>
      </w:r>
      <w:r>
        <w:t xml:space="preserve"> by 2028 across our named account portfolio </w:t>
      </w:r>
      <w:r>
        <w:rPr>
          <w:b/>
          <w:color w:val="1A73E8"/>
          <w:sz w:val="17"/>
        </w:rPr>
        <w:t xml:space="preserve"> [See Appendix A.2] </w:t>
      </w:r>
      <w:r>
        <w:t>.</w:t>
      </w:r>
    </w:p>
    <w:p>
      <w:pPr>
        <w:keepNext/>
        <w:spacing w:before="200" w:after="60"/>
      </w:pPr>
      <w:r>
        <w:rPr>
          <w:rFonts w:ascii="Arial" w:hAnsi="Arial"/>
          <w:b/>
          <w:color w:val="202124"/>
          <w:sz w:val="22"/>
        </w:rPr>
        <w:t>1.5 Revenue Growth Trajectory</w:t>
      </w:r>
    </w:p>
    <w:p>
      <w:pPr>
        <w:spacing w:before="40" w:after="80" w:line="276" w:lineRule="auto"/>
      </w:pPr>
      <w:r>
        <w:t xml:space="preserve">Our revenue projection model, built bottom-up from named account pipeline analysis and validated against Gartner and IDC growth forecasts, projects the following five-year trajectory across five workload categories (figures in $ millions) </w:t>
      </w:r>
      <w:r>
        <w:rPr>
          <w:b/>
          <w:color w:val="1A73E8"/>
          <w:sz w:val="17"/>
        </w:rPr>
        <w:t xml:space="preserve"> [See Appendix A.2] </w:t>
      </w:r>
      <w:r>
        <w:t>:</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cantSplit/>
        </w:trPr>
        <w:tc>
          <w:tcPr>
            <w:tcW w:type="dxa" w:w="99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Year</w:t>
            </w:r>
          </w:p>
        </w:tc>
        <w:tc>
          <w:tcPr>
            <w:tcW w:type="dxa" w:w="1845"/>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AI/ML &amp; Gemini Enterprise</w:t>
            </w:r>
          </w:p>
        </w:tc>
        <w:tc>
          <w:tcPr>
            <w:tcW w:type="dxa" w:w="1561"/>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HPC Seismic</w:t>
            </w:r>
          </w:p>
        </w:tc>
        <w:tc>
          <w:tcPr>
            <w:tcW w:type="dxa" w:w="1561"/>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Data &amp; OSDU</w:t>
            </w:r>
          </w:p>
        </w:tc>
        <w:tc>
          <w:tcPr>
            <w:tcW w:type="dxa" w:w="1703"/>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Sovereign &amp; Security</w:t>
            </w:r>
          </w:p>
        </w:tc>
        <w:tc>
          <w:tcPr>
            <w:tcW w:type="dxa" w:w="113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CCUS</w:t>
            </w:r>
          </w:p>
        </w:tc>
        <w:tc>
          <w:tcPr>
            <w:tcW w:type="dxa" w:w="113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Total</w:t>
            </w:r>
          </w:p>
        </w:tc>
      </w:tr>
      <w:tr>
        <w:trPr>
          <w:cantSplit/>
        </w:trPr>
        <w:tc>
          <w:tcPr>
            <w:tcW w:type="dxa" w:w="9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2024</w:t>
            </w:r>
          </w:p>
        </w:tc>
        <w:tc>
          <w:tcPr>
            <w:tcW w:type="dxa" w:w="184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80</w:t>
            </w:r>
          </w:p>
        </w:tc>
        <w:tc>
          <w:tcPr>
            <w:tcW w:type="dxa" w:w="15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40</w:t>
            </w:r>
          </w:p>
        </w:tc>
        <w:tc>
          <w:tcPr>
            <w:tcW w:type="dxa" w:w="15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120</w:t>
            </w:r>
          </w:p>
        </w:tc>
        <w:tc>
          <w:tcPr>
            <w:tcW w:type="dxa" w:w="170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30</w:t>
            </w:r>
          </w:p>
        </w:tc>
        <w:tc>
          <w:tcPr>
            <w:tcW w:type="dxa" w:w="113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5</w:t>
            </w:r>
          </w:p>
        </w:tc>
        <w:tc>
          <w:tcPr>
            <w:tcW w:type="dxa" w:w="113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275</w:t>
            </w:r>
          </w:p>
        </w:tc>
      </w:tr>
      <w:tr>
        <w:trPr>
          <w:cantSplit/>
        </w:trPr>
        <w:tc>
          <w:tcPr>
            <w:tcW w:type="dxa" w:w="9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2025</w:t>
            </w:r>
          </w:p>
        </w:tc>
        <w:tc>
          <w:tcPr>
            <w:tcW w:type="dxa" w:w="184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140</w:t>
            </w:r>
          </w:p>
        </w:tc>
        <w:tc>
          <w:tcPr>
            <w:tcW w:type="dxa" w:w="156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65</w:t>
            </w:r>
          </w:p>
        </w:tc>
        <w:tc>
          <w:tcPr>
            <w:tcW w:type="dxa" w:w="156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180</w:t>
            </w:r>
          </w:p>
        </w:tc>
        <w:tc>
          <w:tcPr>
            <w:tcW w:type="dxa" w:w="170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55</w:t>
            </w:r>
          </w:p>
        </w:tc>
        <w:tc>
          <w:tcPr>
            <w:tcW w:type="dxa" w:w="113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15</w:t>
            </w:r>
          </w:p>
        </w:tc>
        <w:tc>
          <w:tcPr>
            <w:tcW w:type="dxa" w:w="113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455</w:t>
            </w:r>
          </w:p>
        </w:tc>
      </w:tr>
      <w:tr>
        <w:trPr>
          <w:cantSplit/>
        </w:trPr>
        <w:tc>
          <w:tcPr>
            <w:tcW w:type="dxa" w:w="9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2026</w:t>
            </w:r>
          </w:p>
        </w:tc>
        <w:tc>
          <w:tcPr>
            <w:tcW w:type="dxa" w:w="184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250</w:t>
            </w:r>
          </w:p>
        </w:tc>
        <w:tc>
          <w:tcPr>
            <w:tcW w:type="dxa" w:w="15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110</w:t>
            </w:r>
          </w:p>
        </w:tc>
        <w:tc>
          <w:tcPr>
            <w:tcW w:type="dxa" w:w="15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260</w:t>
            </w:r>
          </w:p>
        </w:tc>
        <w:tc>
          <w:tcPr>
            <w:tcW w:type="dxa" w:w="170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95</w:t>
            </w:r>
          </w:p>
        </w:tc>
        <w:tc>
          <w:tcPr>
            <w:tcW w:type="dxa" w:w="113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40</w:t>
            </w:r>
          </w:p>
        </w:tc>
        <w:tc>
          <w:tcPr>
            <w:tcW w:type="dxa" w:w="113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755</w:t>
            </w:r>
          </w:p>
        </w:tc>
      </w:tr>
      <w:tr>
        <w:trPr>
          <w:cantSplit/>
        </w:trPr>
        <w:tc>
          <w:tcPr>
            <w:tcW w:type="dxa" w:w="9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2027</w:t>
            </w:r>
          </w:p>
        </w:tc>
        <w:tc>
          <w:tcPr>
            <w:tcW w:type="dxa" w:w="184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450</w:t>
            </w:r>
          </w:p>
        </w:tc>
        <w:tc>
          <w:tcPr>
            <w:tcW w:type="dxa" w:w="156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180</w:t>
            </w:r>
          </w:p>
        </w:tc>
        <w:tc>
          <w:tcPr>
            <w:tcW w:type="dxa" w:w="156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380</w:t>
            </w:r>
          </w:p>
        </w:tc>
        <w:tc>
          <w:tcPr>
            <w:tcW w:type="dxa" w:w="170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160</w:t>
            </w:r>
          </w:p>
        </w:tc>
        <w:tc>
          <w:tcPr>
            <w:tcW w:type="dxa" w:w="113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80</w:t>
            </w:r>
          </w:p>
        </w:tc>
        <w:tc>
          <w:tcPr>
            <w:tcW w:type="dxa" w:w="113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1,250</w:t>
            </w:r>
          </w:p>
        </w:tc>
      </w:tr>
      <w:tr>
        <w:trPr>
          <w:cantSplit/>
        </w:trPr>
        <w:tc>
          <w:tcPr>
            <w:tcW w:type="dxa" w:w="9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2028</w:t>
            </w:r>
          </w:p>
        </w:tc>
        <w:tc>
          <w:tcPr>
            <w:tcW w:type="dxa" w:w="184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750</w:t>
            </w:r>
          </w:p>
        </w:tc>
        <w:tc>
          <w:tcPr>
            <w:tcW w:type="dxa" w:w="15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280</w:t>
            </w:r>
          </w:p>
        </w:tc>
        <w:tc>
          <w:tcPr>
            <w:tcW w:type="dxa" w:w="15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520</w:t>
            </w:r>
          </w:p>
        </w:tc>
        <w:tc>
          <w:tcPr>
            <w:tcW w:type="dxa" w:w="170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260</w:t>
            </w:r>
          </w:p>
        </w:tc>
        <w:tc>
          <w:tcPr>
            <w:tcW w:type="dxa" w:w="113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150</w:t>
            </w:r>
          </w:p>
        </w:tc>
        <w:tc>
          <w:tcPr>
            <w:tcW w:type="dxa" w:w="113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1,960</w:t>
            </w:r>
          </w:p>
        </w:tc>
      </w:tr>
    </w:tbl>
    <w:p>
      <w:pPr>
        <w:spacing w:before="40" w:after="120"/>
      </w:pPr>
    </w:p>
    <w:p>
      <w:pPr>
        <w:spacing w:before="40" w:after="80" w:line="276" w:lineRule="auto"/>
      </w:pPr>
      <w:r>
        <w:rPr>
          <w:i/>
        </w:rPr>
        <w:t>Source: Directional model based on Gartner IT Spending Forecast, IDC Cloud Tracker, and named account pipeline analysis. See Appendix A.2 for workload definitions.</w:t>
      </w:r>
    </w:p>
    <w:p>
      <w:pPr>
        <w:keepNext/>
        <w:spacing w:before="200" w:after="60"/>
      </w:pPr>
      <w:r>
        <w:rPr>
          <w:rFonts w:ascii="Arial" w:hAnsi="Arial"/>
          <w:b/>
          <w:color w:val="202124"/>
          <w:sz w:val="22"/>
        </w:rPr>
        <w:t>1.6 Digital Maturity Landscape</w:t>
      </w:r>
    </w:p>
    <w:p>
      <w:pPr>
        <w:spacing w:before="40" w:after="80" w:line="276" w:lineRule="auto"/>
      </w:pPr>
      <w:r>
        <w:t xml:space="preserve">Not all operators are equally ready to adopt cloud and AI at scale. Our analysis of the 33 named accounts reveals a four-stage maturity distribution that informs our engagement sequencing </w:t>
      </w:r>
      <w:r>
        <w:rPr>
          <w:b/>
          <w:color w:val="1A73E8"/>
          <w:sz w:val="17"/>
        </w:rPr>
        <w:t xml:space="preserve"> [See Appendix A.3] </w:t>
      </w:r>
      <w:r>
        <w:t>:</w:t>
      </w:r>
    </w:p>
    <w:p>
      <w:pPr>
        <w:spacing w:before="40" w:after="80" w:line="276" w:lineRule="auto"/>
      </w:pPr>
      <w:r>
        <w:rPr>
          <w:b/>
        </w:rPr>
        <w:t>Leaders</w:t>
      </w:r>
      <w:r>
        <w:t xml:space="preserve"> (Digital Maturity Score 85-92): TotalEnergies, Shell, BP, and Equinor have advanced digital organizations, significant cloud footprints, and active AI programs. These operators are sophisticated buyers who evaluate on technical differentiation, not marketing. Our strategy with leaders is the multicloud wedge , proving value on top of their existing AWS/Azure estates without requiring migration.</w:t>
      </w:r>
    </w:p>
    <w:p>
      <w:pPr>
        <w:spacing w:before="40" w:after="80" w:line="276" w:lineRule="auto"/>
      </w:pPr>
      <w:r>
        <w:rPr>
          <w:b/>
        </w:rPr>
        <w:t>Fast Followers</w:t>
      </w:r>
      <w:r>
        <w:t xml:space="preserve"> (Score 65-78): Saudi Aramco, ExxonMobil, Pertamina, Devon Energy, EQT/Expand, and Reliance have committed to digital transformation but are still making platform decisions. These operators are receptive to new technology partnerships, particularly when framed around sovereign requirements (Aramco, Pertamina) or operational imperatives (Devon's merger integration, EQT's production optimization).</w:t>
      </w:r>
    </w:p>
    <w:p>
      <w:pPr>
        <w:spacing w:before="40" w:after="80" w:line="276" w:lineRule="auto"/>
      </w:pPr>
      <w:r>
        <w:rPr>
          <w:b/>
        </w:rPr>
        <w:t>Early Adopters</w:t>
      </w:r>
      <w:r>
        <w:t xml:space="preserve"> (Score 45-55): KOC/KPC, QatarEnergy, Diamondback, ONGC, and PEMEX are in earlier stages of cloud adoption with significant greenfield opportunity. Our strategy here is to establish Google Cloud as the primary platform before competitors gain incumbency.</w:t>
      </w:r>
    </w:p>
    <w:p>
      <w:pPr>
        <w:spacing w:before="40" w:after="80" w:line="276" w:lineRule="auto"/>
      </w:pPr>
      <w:r>
        <w:rPr>
          <w:b/>
        </w:rPr>
        <w:t>Nascent</w:t>
      </w:r>
      <w:r>
        <w:t xml:space="preserve"> (Score 30-35): Continental Resources, YPF, and Mewbourne Oil have minimal cloud presence. These accounts represent future pipeline but are not Day 1 priorities.</w:t>
      </w:r>
    </w:p>
    <w:p>
      <w:pPr>
        <w:spacing w:before="40" w:after="80" w:line="276" w:lineRule="auto"/>
      </w:pPr>
      <w:r>
        <w:rPr>
          <w:i/>
        </w:rPr>
        <w:t>Maturity scores are directional estimates based on public digital transformation disclosures, analyst reports (Gartner/IDC), and SPE conference publications. See Appendix A.3 for full scoring matrix.</w:t>
      </w:r>
    </w:p>
    <w:p>
      <w:pPr>
        <w:spacing w:before="80" w:after="80"/>
      </w:pPr>
    </w:p>
    <w:p>
      <w:pPr>
        <w:keepNext/>
        <w:spacing w:before="280" w:after="80"/>
        <w:pBdr>
          <w:bottom w:val="single" w:sz="6" w:space="3" w:color="DADCE0"/>
        </w:pBdr>
      </w:pPr>
      <w:r>
        <w:rPr>
          <w:rFonts w:ascii="Arial" w:hAnsi="Arial"/>
          <w:b/>
          <w:color w:val="174EA6"/>
          <w:sz w:val="26"/>
        </w:rPr>
        <w:t>Part II: The Six-Pillar Operating Strategy , Deep Architectural Analysis</w:t>
      </w:r>
    </w:p>
    <w:p>
      <w:pPr>
        <w:spacing w:before="40" w:after="80" w:line="276" w:lineRule="auto"/>
      </w:pPr>
      <w:r>
        <w:t>Our strategy is organized around six interlocking pillars. Each pillar is designed to be independently valuable but to compound the effects of the others , a customer won through sovereign cloud and Mandiant security (Pillar 3 &amp; 4) becomes a candidate for the Energy Exchange (Pillar 5); an ISV partnership (Pillar 2) generates pipeline for the account offense (Pillar 1); a DeepMind research engagement (Pillar 6) creates executive relationships that accelerate sovereign deals. What follows is a full mechanical breakdown of each pillar , the architecture underlying it, how it actually operates account-by-account, the variables that determine whether it succeeds, and the trade-offs inherent in the posture we have chosen.</w:t>
      </w:r>
    </w:p>
    <w:p>
      <w:pPr>
        <w:keepNext/>
        <w:spacing w:before="200" w:after="60"/>
      </w:pPr>
      <w:r>
        <w:rPr>
          <w:rFonts w:ascii="Arial" w:hAnsi="Arial"/>
          <w:b/>
          <w:color w:val="202124"/>
          <w:sz w:val="22"/>
        </w:rPr>
        <w:t>Pillar 1: Customer Offense , The 33-Account Attack</w:t>
      </w:r>
    </w:p>
    <w:p>
      <w:pPr>
        <w:keepNext/>
        <w:spacing w:before="160" w:after="40"/>
      </w:pPr>
      <w:r>
        <w:rPr>
          <w:rFonts w:ascii="Arial" w:hAnsi="Arial"/>
          <w:b/>
          <w:color w:val="3C4043"/>
          <w:sz w:val="20"/>
        </w:rPr>
        <w:t>1.1 Core Architecture / Theoretical Foundation</w:t>
      </w:r>
    </w:p>
    <w:p>
      <w:pPr>
        <w:spacing w:before="40" w:after="80" w:line="276" w:lineRule="auto"/>
      </w:pPr>
      <w:r>
        <w:t xml:space="preserve">The foundation of this strategy is a disciplined, scored account model rather than a horizontal, industry-wide go-to-market motion. Concentrated account coverage is a deliberate rejection of the "spray and cover" model that characterizes hyperscaler vertical teams operating with under-scaled headcount against an over-broad TAM. The architecture rests on three design principles: (1) </w:t>
      </w:r>
      <w:r>
        <w:rPr>
          <w:b/>
        </w:rPr>
        <w:t>tiering by strategic value and win-probability</w:t>
      </w:r>
      <w:r>
        <w:t xml:space="preserve">, not simply by revenue size , a smaller independent with a greenfield decision window (Diamondback) is prioritized above a larger account locked into a multi-year Azure EA (ADNOC); (2) </w:t>
      </w:r>
      <w:r>
        <w:rPr>
          <w:b/>
        </w:rPr>
        <w:t>posture assignment</w:t>
      </w:r>
      <w:r>
        <w:t xml:space="preserve"> , every account is explicitly labeled "Lead" (we can credibly become the primary platform) or "Wedge" (we win a workload beachhead inside a competitor's estate) or "Co-Exist" (we run alongside an entrenched competitor for structural/geopolitical reasons, e.g., ADNOC/G42); and (3) </w:t>
      </w:r>
      <w:r>
        <w:rPr>
          <w:b/>
        </w:rPr>
        <w:t>named executive sponsorship</w:t>
      </w:r>
      <w:r>
        <w:t xml:space="preserve"> , every Tier 1 and Tier 2 account carries an assigned P1 sponsor at the Director/VP level with a documented cadence, removing the diffusion of accountability that causes named-account motions to stall. Segmentation produces </w:t>
      </w:r>
      <w:r>
        <w:rPr>
          <w:b/>
        </w:rPr>
        <w:t>33 named accounts</w:t>
      </w:r>
      <w:r>
        <w:t xml:space="preserve"> across five tiers </w:t>
      </w:r>
      <w:r>
        <w:rPr>
          <w:b/>
          <w:color w:val="1A73E8"/>
          <w:sz w:val="17"/>
        </w:rPr>
        <w:t xml:space="preserve"> [See Appendix A.1] </w:t>
      </w:r>
      <w:r>
        <w:t>.</w:t>
      </w:r>
    </w:p>
    <w:p>
      <w:pPr>
        <w:keepNext/>
        <w:spacing w:before="160" w:after="40"/>
      </w:pPr>
      <w:r>
        <w:rPr>
          <w:rFonts w:ascii="Arial" w:hAnsi="Arial"/>
          <w:b/>
          <w:color w:val="3C4043"/>
          <w:sz w:val="20"/>
        </w:rPr>
        <w:t>1.2 Deep-Dive Mechanics , How Each Tier Actually Operates</w:t>
      </w:r>
    </w:p>
    <w:p>
      <w:pPr>
        <w:spacing w:before="40" w:after="80" w:line="276" w:lineRule="auto"/>
      </w:pPr>
      <w:r>
        <w:rPr>
          <w:b/>
        </w:rPr>
        <w:t>Tier 1A , High-Velocity Independents</w:t>
      </w:r>
      <w:r>
        <w:t xml:space="preserve"> (EQT/Expand Energy, Devon Energy, Diamondback, Harbour Energy, TGS, EOG Resources, ConocoPhillips, Aker BP): These are mid-to-large independents where Google Cloud can plausibly establish itself as the primary platform because incumbency is either absent (greenfield) or actively fracturing (merger integration, capacity failure). The mechanics differ by account: EQT is the largest US natural gas producer and a prime candidate for the Energy Exchange framework (Pillar 5) because its core asset , dispatchable Appalachian gas , is exactly the input Google's data center buildout needs; Devon's merger integration (post-Grayson Mill) creates a forced technology-stack decision because two disparate IT estates must be reconciled onto a single ontology, and the incumbent (Azure) has no structural advantage in that reconciliation; Diamondback offers a clean Permian greenfield with no legacy cloud debt; TGS is a named AWS </w:t>
      </w:r>
      <w:r>
        <w:rPr>
          <w:b/>
        </w:rPr>
        <w:t>win-back</w:t>
      </w:r>
      <w:r>
        <w:t xml:space="preserve"> target , the mechanic here is different in kind, not degree, because it requires proving a measurable technical failure (GPU capacity/queueing issues on AWS) before a displacement conversation can even open. Each Tier 1A account has a named P1 executive sponsor and a defined attack playbook </w:t>
      </w:r>
      <w:r>
        <w:rPr>
          <w:b/>
          <w:color w:val="1A73E8"/>
          <w:sz w:val="17"/>
        </w:rPr>
        <w:t xml:space="preserve"> [See Appendix A.1] </w:t>
      </w:r>
      <w:r>
        <w:t>.</w:t>
      </w:r>
    </w:p>
    <w:p>
      <w:pPr>
        <w:spacing w:before="40" w:after="80" w:line="276" w:lineRule="auto"/>
      </w:pPr>
      <w:r>
        <w:rPr>
          <w:b/>
        </w:rPr>
        <w:t>Tier 1B , PE-Backed Sponsors</w:t>
      </w:r>
      <w:r>
        <w:t xml:space="preserve"> (Quantum Capital Group, EnCap Investments): This tier operates on a fundamentally different mechanic than direct account selling , it is a </w:t>
      </w:r>
      <w:r>
        <w:rPr>
          <w:b/>
        </w:rPr>
        <w:t>platform-replication play</w:t>
      </w:r>
      <w:r>
        <w:t>. Winning the sponsor-level relationship (typically through the CTO/Operating Partner function at the PE firm) creates a reference architecture and commercial framework that can be replicated with minimal re-negotiation across 15-20 portfolio companies as they are acquired, scaled, and exited. The economics only work if the initial sponsor deal is deliberately under-priced relative to a single-account deal, because the return is realized in aggregate across the portfolio, not in the anchor engagement itself.</w:t>
      </w:r>
    </w:p>
    <w:p>
      <w:pPr>
        <w:spacing w:before="40" w:after="80" w:line="276" w:lineRule="auto"/>
      </w:pPr>
      <w:r>
        <w:rPr>
          <w:b/>
        </w:rPr>
        <w:t>Tier 1C , Large Privates</w:t>
      </w:r>
      <w:r>
        <w:t xml:space="preserve"> (Continental Resources, Mewbourne Oil): Large private operators with minimal cloud presence and no public-market disclosure obligations. The mechanic here is patience , these accounts move slowly because there is no shareholder or board pressure forcing a digital transformation timeline, so the wedge must be operationally self-evident (e.g., a drilling-risk agent with measurable NPT reduction) rather than strategically argued.</w:t>
      </w:r>
    </w:p>
    <w:p>
      <w:pPr>
        <w:spacing w:before="40" w:after="80" w:line="276" w:lineRule="auto"/>
      </w:pPr>
      <w:r>
        <w:rPr>
          <w:b/>
        </w:rPr>
        <w:t>Tier 2 , Sovereign NOCs</w:t>
      </w:r>
      <w:r>
        <w:t xml:space="preserve"> (Saudi Aramco, KOC/KPC, Pertamina, PTTEP, Inpex, QatarEnergy, Petronas, ADNOC, ONGC): National oil companies represent the highest-value individual account opportunities in the portfolio, but they operate on a </w:t>
      </w:r>
      <w:r>
        <w:rPr>
          <w:b/>
        </w:rPr>
        <w:t>compliance-gated sales motion</w:t>
      </w:r>
      <w:r>
        <w:t xml:space="preserve"> rather than a technical-merit motion , the sale is won or lost on data residency architecture, in-country operational control, and national AI partnership framing (e.g., HUMAIN AI in Saudi Arabia) well before technical differentiation is evaluated. Saudi Aramco alone represents an estimated </w:t>
      </w:r>
      <w:r>
        <w:rPr>
          <w:b/>
        </w:rPr>
        <w:t>$150 million opportunity</w:t>
      </w:r>
      <w:r>
        <w:t xml:space="preserve"> over three years </w:t>
      </w:r>
      <w:r>
        <w:rPr>
          <w:rFonts w:ascii="Consolas" w:hAnsi="Consolas"/>
          <w:color w:val="B81237"/>
          <w:sz w:val="18"/>
        </w:rPr>
        <w:t>[Data/Verification Required: independently sourced third-party validation of this figure , the underlying document does not cite an external benchmark for this specific number]</w:t>
      </w:r>
      <w:r>
        <w:t xml:space="preserve">. These accounts are won on sovereign compliance, in-country delivery, Mandiant OT threat defense, and national AI partnership </w:t>
      </w:r>
      <w:r>
        <w:rPr>
          <w:b/>
          <w:color w:val="1A73E8"/>
          <w:sz w:val="17"/>
        </w:rPr>
        <w:t xml:space="preserve"> [See Appendix C.3] </w:t>
      </w:r>
      <w:r>
        <w:t>.</w:t>
      </w:r>
    </w:p>
    <w:p>
      <w:pPr>
        <w:spacing w:before="40" w:after="80" w:line="276" w:lineRule="auto"/>
      </w:pPr>
      <w:r>
        <w:rPr>
          <w:b/>
        </w:rPr>
        <w:t>Tier 3 , Affinity Majors</w:t>
      </w:r>
      <w:r>
        <w:t xml:space="preserve"> (TotalEnergies, Reliance Industries, ExxonMobil, Repsol, ENI, BP, Petrobras, Woodside, Hess, PEMEX, YPF, Santos): Global-scale operators where Google Cloud pursues either a lead position (where a relationship or greenfield opening exists, e.g., Reliance, PEMEX, YPF) or a multicloud wedge position (where the incumbent is deeply entrenched, e.g., Repsol/AWS, ENI/AWS).</w:t>
      </w:r>
    </w:p>
    <w:p>
      <w:pPr>
        <w:spacing w:before="40" w:after="80" w:line="276" w:lineRule="auto"/>
      </w:pPr>
      <w:r>
        <w:rPr>
          <w:b/>
        </w:rPr>
        <w:t>Tier 4 , Midstream Infrastructure</w:t>
      </w:r>
      <w:r>
        <w:t xml:space="preserve"> (Williams Companies): Midstream operators control pipeline networks, processing plants, and gathering systems where Google Security (Mandiant + Chronicle) and Tapestry grid analytics provide strong entry wedges , the mechanic is distinct from upstream because the primary buying trigger is critical-infrastructure risk and regulatory exposure (TSA Security Directives) rather than subsurface AI value.</w:t>
      </w:r>
    </w:p>
    <w:p>
      <w:pPr>
        <w:spacing w:before="40" w:after="80" w:line="276" w:lineRule="auto"/>
      </w:pPr>
      <w:r>
        <w:rPr>
          <w:b/>
        </w:rPr>
        <w:t>Fortress Accounts , Co-Existence Wedge Doctrine</w:t>
      </w:r>
      <w:r>
        <w:t xml:space="preserve"> (Shell, Oxy, Chevron, Equinor): These accounts are explicitly </w:t>
      </w:r>
      <w:r>
        <w:rPr>
          <w:i/>
        </w:rPr>
        <w:t>not</w:t>
      </w:r>
      <w:r>
        <w:t xml:space="preserve"> pursued for platform displacement in the near term. The mechanic is to position BigQuery Omni, BigLake, and Google AI &amp; Gemini Enterprise for reasoning over existing data without migration , the wedge succeeds when the incumbent cloud provider becomes commercially irrelevant to the decision even though it retains the underlying storage and compute contract </w:t>
      </w:r>
      <w:r>
        <w:rPr>
          <w:b/>
          <w:color w:val="1A73E8"/>
          <w:sz w:val="17"/>
        </w:rPr>
        <w:t xml:space="preserve"> [See Appendix B.1] </w:t>
      </w:r>
      <w:r>
        <w:t>.</w:t>
      </w:r>
    </w:p>
    <w:p>
      <w:pPr>
        <w:keepNext/>
        <w:spacing w:before="160" w:after="40"/>
      </w:pPr>
      <w:r>
        <w:rPr>
          <w:rFonts w:ascii="Arial" w:hAnsi="Arial"/>
          <w:b/>
          <w:color w:val="3C4043"/>
          <w:sz w:val="20"/>
        </w:rPr>
        <w:t>1.3 Critical Variables, Dependencies &amp; Edge Cases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Variable</w:t>
            </w:r>
          </w:p>
        </w:tc>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Why It Determines Outcome</w:t>
            </w:r>
          </w:p>
        </w:tc>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Edge Case / Failure Mode</w:t>
            </w:r>
          </w:p>
        </w:tc>
      </w:tr>
      <w:tr>
        <w:trPr>
          <w:cantSplit/>
        </w:trPr>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Enterprise Agreement (EA) renewal timing</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Incumbent EAs (especially multi-year Azure/AWS commits) create hard windows , a wedge pitched 18 months before renewal has materially lower conversion than one pitched inside the 6-month renewal window.</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Pitching a "Lead" motion against an account with 3+ years remaining on an EA wastes P1 sponsor capacity that should be redirected to a Wedge motion.</w:t>
            </w:r>
          </w:p>
        </w:tc>
      </w:tr>
      <w:tr>
        <w:trPr>
          <w:cantSplit/>
        </w:trPr>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Executive sponsor turnover</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Named P1 relationships are the connective tissue of Tier 1/2 accounts; a champion's departure resets the sales cycle.</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 xml:space="preserve">No formalized multi-threading requirement is specified in the current model , single-threaded sponsor relationships are a structural risk </w:t>
            </w:r>
            <w:r>
              <w:rPr>
                <w:rFonts w:ascii="Consolas" w:hAnsi="Consolas"/>
                <w:color w:val="B81237"/>
                <w:sz w:val="14"/>
              </w:rPr>
              <w:t>[Data/Verification Required: confirm multi-threading minimum standard exists in the CRM governance model]</w:t>
            </w:r>
            <w:r>
              <w:rPr>
                <w:sz w:val="16"/>
              </w:rPr>
              <w:t>.</w:t>
            </w:r>
          </w:p>
        </w:tc>
      </w:tr>
      <w:tr>
        <w:trPr>
          <w:cantSplit/>
        </w:trPr>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PE portfolio company autonomy</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1B's replication thesis assumes portfolio companies accept sponsor-level architecture decisions; in practice, operating company CTOs frequently retain platform autonomy post-acquisition.</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If portfolio company autonomy is high, the Tier 1B "replication multiplier" collapses to a series of independent Tier 1A-style sales cycles, invalidating the pricing assumption in 1.2.</w:t>
            </w:r>
          </w:p>
        </w:tc>
      </w:tr>
      <w:tr>
        <w:trPr>
          <w:cantSplit/>
        </w:trPr>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Sovereign compliance certification lag</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 deals are compliance-gated; if Google Cloud's sovereign region certifications (e.g., Dammam me-central2 CST/NCA attestation) lag the deal timeline, the account defaults to the incumbent by procedural default, not preference.</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 certification slip of even one quarter can eliminate an NOC account from the current fiscal year's addressable pipeline entirely.</w:t>
            </w:r>
          </w:p>
        </w:tc>
      </w:tr>
      <w:tr>
        <w:trPr>
          <w:cantSplit/>
        </w:trPr>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Geopolitical/national champion dynamics (ADNOC/G42)</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Some accounts are structurally bound to a national or regional technology champion for reasons outside commercial evaluation.</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ADNOC is explicitly modeled as "Co-Exist," not "Lead" or "Wedge" , applying a Lead playbook here would misallocate resources against a non-addressable outcome.</w:t>
            </w:r>
          </w:p>
        </w:tc>
      </w:tr>
    </w:tbl>
    <w:p>
      <w:pPr>
        <w:spacing w:before="40" w:after="120"/>
      </w:pPr>
    </w:p>
    <w:p>
      <w:pPr>
        <w:keepNext/>
        <w:spacing w:before="160" w:after="40"/>
      </w:pPr>
      <w:r>
        <w:rPr>
          <w:rFonts w:ascii="Arial" w:hAnsi="Arial"/>
          <w:b/>
          <w:color w:val="3C4043"/>
          <w:sz w:val="20"/>
        </w:rPr>
        <w:t>1.4 Comparative Trade-Offs &amp; Strategic Implications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cantSplit/>
        </w:trPr>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Posture</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Resource Intensity</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Time-to-Revenue</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Win Probability</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Strategic Risk if Wrong</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Lead</w:t>
            </w:r>
            <w:r>
              <w:rPr>
                <w:sz w:val="16"/>
              </w:rPr>
              <w:t xml:space="preserve"> (greenfield / merger-forced accounts)</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 , requires full platform proof, migration support, multi-quarter technical validation</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Longer (12–24 months to material ARR)</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Higher once pursued, but fewer qualifying accounts</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Over-investing in an account where the "greenfield" window closes (e.g., competitor signs first)</w:t>
            </w:r>
          </w:p>
        </w:tc>
      </w:tr>
      <w:tr>
        <w:trPr>
          <w:cantSplit/>
        </w:trPr>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Wedge</w:t>
            </w:r>
            <w:r>
              <w:rPr>
                <w:sz w:val="16"/>
              </w:rPr>
              <w:t xml:space="preserve"> (fortress / entrenched accounts)</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Lower , targeted workload proof, no migration required</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Shorter (often single quarter to first workload)</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Very high for the specific workload, but ARR ceiling is structurally capped absent expansion</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Treating a Wedge win as a platform win and under-resourcing the long-tail expansion motion required to grow it</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Co-Exist</w:t>
            </w:r>
            <w:r>
              <w:rPr>
                <w:sz w:val="16"/>
              </w:rPr>
              <w:t xml:space="preserve"> (geopolitically bound accounts)</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Minimal , maintenance-level engagement, no near-term displacement thesis</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Not applicable near-term</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 for platform share; moderate for security/analytics attach</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Ignoring these accounts entirely forfeits attach revenue (Mandiant, BigQuery Omni) that requires no displacement of the primary platform</w:t>
            </w:r>
          </w:p>
        </w:tc>
      </w:tr>
    </w:tbl>
    <w:p>
      <w:pPr>
        <w:spacing w:before="40" w:after="120"/>
      </w:pPr>
    </w:p>
    <w:p>
      <w:pPr>
        <w:spacing w:before="40" w:after="80" w:line="276" w:lineRule="auto"/>
      </w:pPr>
      <w:r>
        <w:t xml:space="preserve">The core strategic implication is that </w:t>
      </w:r>
      <w:r>
        <w:rPr>
          <w:b/>
        </w:rPr>
        <w:t>the 33-account model is not a homogenous target list , it is a portfolio of different sales motions requiring different skill sets, different sales cycle lengths, and different success metrics</w:t>
      </w:r>
      <w:r>
        <w:t>, and field enablement (Appendix E) must be differentiated accordingly rather than applying a single playbook uniformly.</w:t>
      </w:r>
    </w:p>
    <w:p>
      <w:pPr>
        <w:spacing w:before="80" w:after="80"/>
      </w:pPr>
    </w:p>
    <w:p>
      <w:pPr>
        <w:keepNext/>
        <w:spacing w:before="200" w:after="60"/>
      </w:pPr>
      <w:r>
        <w:rPr>
          <w:rFonts w:ascii="Arial" w:hAnsi="Arial"/>
          <w:b/>
          <w:color w:val="202124"/>
          <w:sz w:val="22"/>
        </w:rPr>
        <w:t>Pillar 2: Ecosystem Coalition , Partners That Outsell the Direct Force</w:t>
      </w:r>
    </w:p>
    <w:p>
      <w:pPr>
        <w:keepNext/>
        <w:spacing w:before="160" w:after="40"/>
      </w:pPr>
      <w:r>
        <w:rPr>
          <w:rFonts w:ascii="Arial" w:hAnsi="Arial"/>
          <w:b/>
          <w:color w:val="3C4043"/>
          <w:sz w:val="20"/>
        </w:rPr>
        <w:t>2.1 Core Architecture / Theoretical Foundation</w:t>
      </w:r>
    </w:p>
    <w:p>
      <w:pPr>
        <w:spacing w:before="40" w:after="80" w:line="276" w:lineRule="auto"/>
      </w:pPr>
      <w:r>
        <w:t xml:space="preserve">The ecosystem strategy rests on the premise that in a vertical as operationally entrenched as oil and gas, the direct sales force cannot be the primary vector of technical credibility , the domain-specific software already running on rigs, in control rooms, and in subsurface interpretation workflows belongs to third parties, and those third parties' sales and delivery organizations reach far more buying centers than a hyperscaler vertical team ever will. The architecture is organized around </w:t>
      </w:r>
      <w:r>
        <w:rPr>
          <w:b/>
        </w:rPr>
        <w:t>three layers</w:t>
      </w:r>
      <w:r>
        <w:t xml:space="preserve">: Domain ISVs (Cognite, SLB, Baker Hughes, Kongsberg, AspenTech), Global System Integrators (EPAM, Accenture, TCS/Infosys/Wipro), and Sovereign/Security Partners (HUMAIN AI, CNTXT, the Mandiant ecosystem, and the Google for Startups Cloud Program cohort) </w:t>
      </w:r>
      <w:r>
        <w:rPr>
          <w:b/>
          <w:color w:val="1A73E8"/>
          <w:sz w:val="17"/>
        </w:rPr>
        <w:t xml:space="preserve"> [See Appendix C.1 &amp; C.2] </w:t>
      </w:r>
      <w:r>
        <w:t>. Each layer serves a distinct function , ISVs provide domain credibility and existing data gravity; GSIs provide delivery capacity and system-of-record integration expertise; sovereign/security partners provide the compliance and national-champion positioning required in Tier 2 accounts.</w:t>
      </w:r>
    </w:p>
    <w:p>
      <w:pPr>
        <w:keepNext/>
        <w:spacing w:before="160" w:after="40"/>
      </w:pPr>
      <w:r>
        <w:rPr>
          <w:rFonts w:ascii="Arial" w:hAnsi="Arial"/>
          <w:b/>
          <w:color w:val="3C4043"/>
          <w:sz w:val="20"/>
        </w:rPr>
        <w:t>2.2 Deep-Dive Mechanics , The Foundation Model Co-Development Program</w:t>
      </w:r>
    </w:p>
    <w:p>
      <w:pPr>
        <w:spacing w:before="40" w:after="80" w:line="276" w:lineRule="auto"/>
      </w:pPr>
      <w:r>
        <w:t xml:space="preserve">The most technically significant element of Pillar 2 is </w:t>
      </w:r>
      <w:r>
        <w:rPr>
          <w:b/>
        </w:rPr>
        <w:t>industry foundation model co-development</w:t>
      </w:r>
      <w:r>
        <w:t xml:space="preserve"> with six ISV data partners , TGS, SLB, Baker Hughes, Siemens, AspenTech, and Enverus , to build GCP-hosted domain foundation models: a </w:t>
      </w:r>
      <w:r>
        <w:rPr>
          <w:b/>
        </w:rPr>
        <w:t>Timeseries FM</w:t>
      </w:r>
      <w:r>
        <w:t xml:space="preserve"> for production and drilling operations telemetry, and a </w:t>
      </w:r>
      <w:r>
        <w:rPr>
          <w:b/>
        </w:rPr>
        <w:t>Subsurface FM</w:t>
      </w:r>
      <w:r>
        <w:t xml:space="preserve"> for seismic and reservoir intelligence. Mechanically, this works as a data-and-compute exchange: ISV partners contribute de-identified, aggregated training corpora (decades of well-log, seismic, and production timeseries data they already hold as data custodians) in exchange for hosting economics, co-marketing rights, and priority access to the resulting base models for their own product lines. The </w:t>
      </w:r>
      <w:r>
        <w:rPr>
          <w:b/>
        </w:rPr>
        <w:t>IP framework</w:t>
      </w:r>
      <w:r>
        <w:t xml:space="preserve"> is deliberately narrow to avoid the channel-conflict failure mode that has undermined similar hyperscaler-ISV programs elsewhere: there is </w:t>
      </w:r>
      <w:r>
        <w:rPr>
          <w:b/>
        </w:rPr>
        <w:t>zero joint IP between Google and any individual ISV</w:t>
      </w:r>
      <w:r>
        <w:t xml:space="preserve"> at the bilateral level; joint IP is reserved exclusively for </w:t>
      </w:r>
      <w:r>
        <w:rPr>
          <w:b/>
        </w:rPr>
        <w:t>tripartite engagements</w:t>
      </w:r>
      <w:r>
        <w:t xml:space="preserve"> that include a customer/operator as the third party (meaning any co-developed IP is anchored to a paying customer relationship, not a speculative platform bet); and </w:t>
      </w:r>
      <w:r>
        <w:rPr>
          <w:b/>
        </w:rPr>
        <w:t>operator-customized fine-tuned weights belong exclusively to the operator</w:t>
      </w:r>
      <w:r>
        <w:t xml:space="preserve">, not to Google or the ISV, which removes the primary objection operators raise about supplying proprietary subsurface data to a cloud provider </w:t>
      </w:r>
      <w:r>
        <w:rPr>
          <w:b/>
          <w:color w:val="1A73E8"/>
          <w:sz w:val="17"/>
        </w:rPr>
        <w:t xml:space="preserve"> [See Appendix C.1] </w:t>
      </w:r>
      <w:r>
        <w:t>.</w:t>
      </w:r>
    </w:p>
    <w:p>
      <w:pPr>
        <w:keepNext/>
        <w:spacing w:before="160" w:after="40"/>
      </w:pPr>
      <w:r>
        <w:rPr>
          <w:rFonts w:ascii="Arial" w:hAnsi="Arial"/>
          <w:b/>
          <w:color w:val="3C4043"/>
          <w:sz w:val="20"/>
        </w:rPr>
        <w:t>2.3 Critical Variables, Dependencies &amp; Edge Cases</w:t>
      </w:r>
    </w:p>
    <w:p>
      <w:pPr>
        <w:pStyle w:val="ListBullet"/>
        <w:spacing w:before="20" w:after="40" w:line="276" w:lineRule="auto"/>
      </w:pPr>
      <w:r>
        <w:rPr>
          <w:b/>
        </w:rPr>
        <w:t>Channel conflict risk</w:t>
      </w:r>
      <w:r>
        <w:t>: ISVs (particularly SLB and Baker Hughes, both of which run substantial cloud-hosting businesses of their own) have a structural incentive to keep customers within their own hosted environments rather than accelerate a migration to GCP-native workloads. The co-development program's success depends on the hosting/co-marketing economics remaining more attractive to the ISV than protecting their own hosting margin , this is a continuously renegotiated balance, not a solved condition.</w:t>
      </w:r>
    </w:p>
    <w:p>
      <w:pPr>
        <w:pStyle w:val="ListBullet"/>
        <w:spacing w:before="20" w:after="40" w:line="276" w:lineRule="auto"/>
      </w:pPr>
      <w:r>
        <w:rPr>
          <w:b/>
        </w:rPr>
        <w:t>GSI delivery capacity</w:t>
      </w:r>
      <w:r>
        <w:t xml:space="preserve">: The partner strategy assumes EPAM, Accenture, and the Indian heritage SIs (TCS/Infosys/Wipro) can staff certified O&amp;G-specific Google Cloud delivery teams at the pace the account offense requires (Appendix E.1 targets 40 certified partner practitioners by Day 90). </w:t>
      </w:r>
      <w:r>
        <w:rPr>
          <w:rFonts w:ascii="Consolas" w:hAnsi="Consolas"/>
          <w:color w:val="B81237"/>
          <w:sz w:val="18"/>
        </w:rPr>
        <w:t>[Data/Verification Required: confirm GSI staffing commitments are contractually bound rather than aspirational targets]</w:t>
      </w:r>
      <w:r>
        <w:t>.</w:t>
      </w:r>
    </w:p>
    <w:p>
      <w:pPr>
        <w:pStyle w:val="ListBullet"/>
        <w:spacing w:before="20" w:after="40" w:line="276" w:lineRule="auto"/>
      </w:pPr>
      <w:r>
        <w:rPr>
          <w:b/>
        </w:rPr>
        <w:t>Data provenance and consent chain-of-custody</w:t>
      </w:r>
      <w:r>
        <w:t>: Even de-identified and aggregated, subsurface and production data carries jurisdictional and contractual restrictions (many operator-ISV data-sharing agreements pre-date any foundation-model use case). Model training pipelines must be able to demonstrate a clean consent chain for every contributed dataset, or the entire FM program carries downstream legal exposure for both Google and the contributing ISV.</w:t>
      </w:r>
    </w:p>
    <w:p>
      <w:pPr>
        <w:pStyle w:val="ListBullet"/>
        <w:spacing w:before="20" w:after="40" w:line="276" w:lineRule="auto"/>
      </w:pPr>
      <w:r>
        <w:rPr>
          <w:b/>
        </w:rPr>
        <w:t>HUMAIN AI / CNTXT sovereign partner dependency</w:t>
      </w:r>
      <w:r>
        <w:t>: Tier 2 KSA accounts route through HUMAIN AI as a national AI champion; the partnership terms (equity structure, revenue share, exclusivity provisions) are outside Google Cloud's direct control and represent a single point of dependency for the entire Saudi Arabia pipeline.</w:t>
      </w:r>
    </w:p>
    <w:p>
      <w:pPr>
        <w:keepNext/>
        <w:spacing w:before="160" w:after="40"/>
      </w:pPr>
      <w:r>
        <w:rPr>
          <w:rFonts w:ascii="Arial" w:hAnsi="Arial"/>
          <w:b/>
          <w:color w:val="3C4043"/>
          <w:sz w:val="20"/>
        </w:rPr>
        <w:t>2.4 Comparative Trade-Offs &amp; Strategic Implications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cantSplit/>
        </w:trPr>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Partner Layer</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Speed to Credibility</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Control Over Outcome</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Margin Impact</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Best Fit</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Domain ISVs</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Fast , inherits existing trust and data gravity</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 , dependent on ISV's own commercial incentives</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Revenue-share dilutive, but unlocks otherwise inaccessible accounts</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Fortress and Tier 3 accounts where a direct wedge has no entry point</w:t>
            </w:r>
          </w:p>
        </w:tc>
      </w:tr>
      <w:tr>
        <w:trPr>
          <w:cantSplit/>
        </w:trPr>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Global System Integrators</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Medium , requires certification and staffing ramp</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Medium , SI delivery quality is variable and hard to audit centrally</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Neutral to margin; primarily a capacity multiplier</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 accounts requiring large in-country delivery teams</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Sovereign/Security Partners</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Slow to establish, but durable once in place</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 , often subject to national policy outside commercial negotiation</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 strategic value, low direct margin</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accounts in jurisdictions with mandatory national-champion routing</w:t>
            </w:r>
          </w:p>
        </w:tc>
      </w:tr>
    </w:tbl>
    <w:p>
      <w:pPr>
        <w:spacing w:before="40" w:after="120"/>
      </w:pPr>
    </w:p>
    <w:p>
      <w:pPr>
        <w:spacing w:before="40" w:after="80" w:line="276" w:lineRule="auto"/>
      </w:pPr>
      <w:r>
        <w:t>The strategic implication is that ecosystem leverage is not free , every layer trades some combination of speed, control, or margin for market access that the direct force cannot achieve alone, and the IP framework in 2.2 exists specifically to prevent the highest-leverage layer (Domain ISVs) from becoming the highest-risk layer.</w:t>
      </w:r>
    </w:p>
    <w:p>
      <w:pPr>
        <w:spacing w:before="80" w:after="80"/>
      </w:pPr>
    </w:p>
    <w:p>
      <w:pPr>
        <w:keepNext/>
        <w:spacing w:before="200" w:after="60"/>
      </w:pPr>
      <w:r>
        <w:rPr>
          <w:rFonts w:ascii="Arial" w:hAnsi="Arial"/>
          <w:b/>
          <w:color w:val="202124"/>
          <w:sz w:val="22"/>
        </w:rPr>
        <w:t>Pillar 3: Technology Supremacy , Gemini Enterprise, Sovereign Cloud &amp; OT Security</w:t>
      </w:r>
    </w:p>
    <w:p>
      <w:pPr>
        <w:keepNext/>
        <w:spacing w:before="160" w:after="40"/>
      </w:pPr>
      <w:r>
        <w:rPr>
          <w:rFonts w:ascii="Arial" w:hAnsi="Arial"/>
          <w:b/>
          <w:color w:val="3C4043"/>
          <w:sz w:val="20"/>
        </w:rPr>
        <w:t>3.1 Core Architecture / Theoretical Foundation</w:t>
      </w:r>
    </w:p>
    <w:p>
      <w:pPr>
        <w:spacing w:before="40" w:after="80" w:line="276" w:lineRule="auto"/>
      </w:pPr>
      <w:r>
        <w:t xml:space="preserve">The technology strategy is built on three interconnected capabilities that, individually, are each replicable by at least one competitor, but which create a </w:t>
      </w:r>
      <w:r>
        <w:rPr>
          <w:b/>
        </w:rPr>
        <w:t>defensible moat only in combination</w:t>
      </w:r>
      <w:r>
        <w:t>: an enterprise AI platform capable of governed reasoning over fragmented industrial data, purpose-built subsurface HPC infrastructure, and a sovereign/security framework that satisfies both data-residency law and OT/ICS threat defense requirements simultaneously. The architectural thesis is that oil and gas buyers do not evaluate these capabilities independently , a sovereign NOC will not adopt an AI platform that cannot also satisfy its OT security mandate, and a subsurface HPC buyer will not adopt a platform that cannot reason over the seismic outputs it produces. This interdependency is the actual source of differentiation, not any single capability in isolation.</w:t>
      </w:r>
    </w:p>
    <w:p>
      <w:pPr>
        <w:keepNext/>
        <w:spacing w:before="160" w:after="40"/>
      </w:pPr>
      <w:r>
        <w:rPr>
          <w:rFonts w:ascii="Arial" w:hAnsi="Arial"/>
          <w:b/>
          <w:color w:val="3C4043"/>
          <w:sz w:val="20"/>
        </w:rPr>
        <w:t>3.2 Deep-Dive Mechanics</w:t>
      </w:r>
    </w:p>
    <w:p>
      <w:pPr>
        <w:spacing w:before="40" w:after="80" w:line="276" w:lineRule="auto"/>
      </w:pPr>
      <w:r>
        <w:rPr>
          <w:b/>
        </w:rPr>
        <w:t>Capability 1: Google AI &amp; Gemini Enterprise Platform.</w:t>
      </w:r>
      <w:r>
        <w:t xml:space="preserve"> The platform delivers a governed, end-to-end industrial AI stack. Powered by Vertex AI Agent Builder and Gemini multimodal models, it orchestrates agentic workflows across OSDU and legacy SCADA systems, following the six-stage pipeline documented in Appendix B.3 (Ingestion → Gemini Reasoning → Agent Orchestration → Human Approval Gate → Action Execution → Audit Logging). The mechanical differentiator is the </w:t>
      </w:r>
      <w:r>
        <w:rPr>
          <w:b/>
        </w:rPr>
        <w:t>deterministic human approval gate</w:t>
      </w:r>
      <w:r>
        <w:t xml:space="preserve"> , for any agent action with physical-world consequence (e.g., a drilling parameter adjustment or a valve-state recommendation), the architecture requires an explicit human-in-the-loop confirmation step before action execution, which is what allows this platform to be deployed against safety-critical OT workflows rather than confined to back-office document intelligence. Model Garden customization and native Google Workspace integration extend this into the field engineer and geoscientist's daily workflow rather than requiring a separate specialized interface </w:t>
      </w:r>
      <w:r>
        <w:rPr>
          <w:b/>
          <w:color w:val="1A73E8"/>
          <w:sz w:val="17"/>
        </w:rPr>
        <w:t xml:space="preserve"> [See Appendix B.3] </w:t>
      </w:r>
      <w:r>
        <w:t>.</w:t>
      </w:r>
    </w:p>
    <w:p>
      <w:pPr>
        <w:spacing w:before="40" w:after="80" w:line="276" w:lineRule="auto"/>
      </w:pPr>
      <w:r>
        <w:rPr>
          <w:b/>
        </w:rPr>
        <w:t>Capability 2: Subsurface HPC Supercomputing.</w:t>
      </w:r>
      <w:r>
        <w:t xml:space="preserve"> A3 Mega/Ultra GPU clusters (NVIDIA H100/H200/B200) paired with 3.2 Tbps GPUDirect RDMA networking and Parallelstore (DAOS-based) storage deliver sub-millisecond I/O for the petabyte-scale reverse-time-migration (RTM) workloads that dominate seismic reprocessing. The mechanical value proposition, per the benchmark comparison in Appendix B.2, is a measurable </w:t>
      </w:r>
      <w:r>
        <w:rPr>
          <w:b/>
        </w:rPr>
        <w:t>35% reduction in RTM wall-clock time</w:t>
      </w:r>
      <w:r>
        <w:t xml:space="preserve"> relative to the AWS baseline , this is the specific, falsifiable technical claim that the TGS win-back motion is built on, and it must be independently re-validated per customer workload rather than treated as a universal constant. Hybrid cloud bursting via the Google Cloud HPC Toolkit allows operators to retain on-premises Slurm-managed clusters as the steady-state environment while bursting 10,000+ cores to GCP only during peak reprocessing windows, which addresses the capital-discipline objection (Force 6, Part I) directly </w:t>
      </w:r>
      <w:r>
        <w:rPr>
          <w:b/>
          <w:color w:val="1A73E8"/>
          <w:sz w:val="17"/>
        </w:rPr>
        <w:t xml:space="preserve"> [See Appendix B.2] </w:t>
      </w:r>
      <w:r>
        <w:t>.</w:t>
      </w:r>
    </w:p>
    <w:p>
      <w:pPr>
        <w:spacing w:before="40" w:after="80" w:line="276" w:lineRule="auto"/>
      </w:pPr>
      <w:r>
        <w:rPr>
          <w:b/>
        </w:rPr>
        <w:t>Capability 3: The Sovereign Trio &amp; Critical Infrastructure Protection.</w:t>
      </w:r>
      <w:r>
        <w:t xml:space="preserve"> A unified decision framework spans six deployment options , Dammam (me-central2), Doha, Jakarta, Bangkok, Tokyo/Osaka, and GDC Air-Gapped , combined with Mandiant OT/ICS threat intelligence (drawing on frontline visibility into state-sponsored actors including Triton/TRISIS, Sandworm, and Volt Typhoon) and Wiz cloud security posture management. Mechanically, the GDC Air-Gapped option is architecturally distinct from the five in-country regions , it operates with no network connectivity to the public Google Cloud control plane, which is the only configuration that satisfies the most stringent NOC requirements (e.g., ADNOC-class air-gap mandates) </w:t>
      </w:r>
      <w:r>
        <w:rPr>
          <w:b/>
          <w:color w:val="1A73E8"/>
          <w:sz w:val="17"/>
        </w:rPr>
        <w:t xml:space="preserve"> [See Appendix C.3] </w:t>
      </w:r>
      <w:r>
        <w:t>.</w:t>
      </w:r>
    </w:p>
    <w:p>
      <w:pPr>
        <w:keepNext/>
        <w:spacing w:before="160" w:after="40"/>
      </w:pPr>
      <w:r>
        <w:rPr>
          <w:rFonts w:ascii="Arial" w:hAnsi="Arial"/>
          <w:b/>
          <w:color w:val="3C4043"/>
          <w:sz w:val="20"/>
        </w:rPr>
        <w:t>3.3 Critical Variables, Dependencies &amp; Edge Cases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Variable</w:t>
            </w:r>
          </w:p>
        </w:tc>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Mechanism</w:t>
            </w:r>
          </w:p>
        </w:tc>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Risk if Unaddressed</w:t>
            </w:r>
          </w:p>
        </w:tc>
      </w:tr>
      <w:tr>
        <w:trPr>
          <w:cantSplit/>
        </w:trPr>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Agent approval-gate latency vs. operational tempo</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Human-in-the-loop gates are essential for safety-critical actions but introduce decision latency that some real-time drilling/production use cases cannot tolerate.</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 xml:space="preserve">Over-applying the approval gate to low-risk, high-frequency decisions erodes the efficiency case for agentic AI; under-applying it to high-risk decisions creates safety and liability exposure. The threshold for which agent actions require gating is a per-workflow governance decision, not a platform default </w:t>
            </w:r>
            <w:r>
              <w:rPr>
                <w:rFonts w:ascii="Consolas" w:hAnsi="Consolas"/>
                <w:color w:val="B81237"/>
                <w:sz w:val="14"/>
              </w:rPr>
              <w:t>[Data/Verification Required: confirm a documented risk-tiering framework exists for gate application]</w:t>
            </w:r>
            <w:r>
              <w:rPr>
                <w:sz w:val="16"/>
              </w:rPr>
              <w:t>.</w:t>
            </w:r>
          </w:p>
        </w:tc>
      </w:tr>
      <w:tr>
        <w:trPr>
          <w:cantSplit/>
        </w:trPr>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GPU/TPU capacity allocation under demand surge</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Subsurface HPC and broader AI infrastructure (including Google's own internal AI workloads) compete for the same underlying A3/TPU capacity pool.</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 capacity SLA committed to an O&amp;G HPC customer (e.g., TGS) must be contractually firm, not best-effort, or the win-back thesis collapses under exactly the failure mode (queueing/capacity shortfall) used to displace AWS in the first place.</w:t>
            </w:r>
          </w:p>
        </w:tc>
      </w:tr>
      <w:tr>
        <w:trPr>
          <w:cantSplit/>
        </w:trPr>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Sovereign region certification currency</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CST/NCA and equivalent regional attestations require periodic re-certification and are jurisdiction-specific.</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 lapsed or delayed certification in any one of the six sovereign deployment options removes that account category from addressable pipeline until remediated, independent of technical readiness.</w:t>
            </w:r>
          </w:p>
        </w:tc>
      </w:tr>
      <w:tr>
        <w:trPr>
          <w:cantSplit/>
        </w:trPr>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GDC Air-Gapped update and patch cadence</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Air-gapped environments cannot receive standard control-plane updates, requiring a manual/out-of-band patching process.</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Slower patch cadence in air-gapped deployments creates a documented trade-off between security isolation and currency of threat-intelligence signatures , this must be disclosed transparently to OT security buyers, not presented as a strictly superior configuration.</w:t>
            </w:r>
          </w:p>
        </w:tc>
      </w:tr>
    </w:tbl>
    <w:p>
      <w:pPr>
        <w:spacing w:before="40" w:after="120"/>
      </w:pPr>
    </w:p>
    <w:p>
      <w:pPr>
        <w:keepNext/>
        <w:spacing w:before="160" w:after="40"/>
      </w:pPr>
      <w:r>
        <w:rPr>
          <w:rFonts w:ascii="Arial" w:hAnsi="Arial"/>
          <w:b/>
          <w:color w:val="3C4043"/>
          <w:sz w:val="20"/>
        </w:rPr>
        <w:t>3.4 Comparative Trade-Offs &amp; Strategic Implications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cantSplit/>
        </w:trPr>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Deployment Configuration</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Data Residency Strength</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Latency to Global Services (e.g., DeepMind, Gemini updates)</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Operational Complexity</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Best Fit</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Standard sovereign region (Dammam, Doha, Jakarta, Bangkok, Tokyo/Osaka)</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 , in-country processing, meets most NCA/CST-class regulation</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 , connected to global control plane with regional data boundary</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Moderate</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NOCs requiring data residency but not full network isolation</w:t>
            </w:r>
          </w:p>
        </w:tc>
      </w:tr>
      <w:tr>
        <w:trPr>
          <w:cantSplit/>
        </w:trPr>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GDC Air-Gapped</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Maximum , no external network path</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 , manual update/patch cycle, no real-time model refresh</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 , requires dedicated on-site operational team</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Accounts with explicit air-gap mandates (e.g., ADNOC-class, certain defense-adjacent OT environments)</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Standard multi-region (non-sovereign)</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Lowest of the three</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Lowest latency, full feature currency</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Lowest</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Fortress-account wedge motions (Shell, Chevron) where sovereignty is not the binding constraint</w:t>
            </w:r>
          </w:p>
        </w:tc>
      </w:tr>
    </w:tbl>
    <w:p>
      <w:pPr>
        <w:spacing w:before="40" w:after="120"/>
      </w:pPr>
    </w:p>
    <w:p>
      <w:pPr>
        <w:spacing w:before="40" w:after="80" w:line="276" w:lineRule="auto"/>
      </w:pPr>
      <w:r>
        <w:t>The strategic implication is that "sovereign cloud" is not a single product , it is a spectrum trade-off between isolation and currency, and the sales motion must correctly diagnose which point on that spectrum a given NOC's regulatory and threat posture actually requires, rather than defaulting every Tier 2 account to the maximum-isolation configuration, which would be commercially and operationally over-engineered for accounts like Pertamina or PTTEP that are already GCP-native.</w:t>
      </w:r>
    </w:p>
    <w:p>
      <w:pPr>
        <w:spacing w:before="80" w:after="80"/>
      </w:pPr>
    </w:p>
    <w:p>
      <w:pPr>
        <w:keepNext/>
        <w:spacing w:before="200" w:after="60"/>
      </w:pPr>
      <w:r>
        <w:rPr>
          <w:rFonts w:ascii="Arial" w:hAnsi="Arial"/>
          <w:b/>
          <w:color w:val="202124"/>
          <w:sz w:val="22"/>
        </w:rPr>
        <w:t>Pillar 4: Alphabet Advantage , Capabilities No Competitor Can Replicate</w:t>
      </w:r>
    </w:p>
    <w:p>
      <w:pPr>
        <w:keepNext/>
        <w:spacing w:before="160" w:after="40"/>
      </w:pPr>
      <w:r>
        <w:rPr>
          <w:rFonts w:ascii="Arial" w:hAnsi="Arial"/>
          <w:b/>
          <w:color w:val="3C4043"/>
          <w:sz w:val="20"/>
        </w:rPr>
        <w:t>4.1 Core Architecture / Theoretical Foundation</w:t>
      </w:r>
    </w:p>
    <w:p>
      <w:pPr>
        <w:spacing w:before="40" w:after="80" w:line="276" w:lineRule="auto"/>
      </w:pPr>
      <w:r>
        <w:t xml:space="preserve">This pillar's thesis is structural, not technical: AWS and Microsoft Azure are each embedded in corporate structures without a comparable adjacent portfolio of frontier science research, planetary-scale geospatial data, and physical energy market participation. Alphabet's structure allows Google Cloud to broker access to assets that were never built for commercial cloud distribution but that map directly onto oil and gas value-chain problems. This is an advantage of </w:t>
      </w:r>
      <w:r>
        <w:rPr>
          <w:b/>
        </w:rPr>
        <w:t>access and integration</w:t>
      </w:r>
      <w:r>
        <w:t xml:space="preserve">, not one Google Cloud created independently , which means its defensibility depends entirely on how effectively Google Cloud can commercialize and productize business-unit assets that have their own independent priorities and roadmaps </w:t>
      </w:r>
      <w:r>
        <w:rPr>
          <w:b/>
          <w:color w:val="1A73E8"/>
          <w:sz w:val="17"/>
        </w:rPr>
        <w:t xml:space="preserve"> [See Appendix D.1-D.3] </w:t>
      </w:r>
      <w:r>
        <w:t>.</w:t>
      </w:r>
    </w:p>
    <w:p>
      <w:pPr>
        <w:keepNext/>
        <w:spacing w:before="160" w:after="40"/>
      </w:pPr>
      <w:r>
        <w:rPr>
          <w:rFonts w:ascii="Arial" w:hAnsi="Arial"/>
          <w:b/>
          <w:color w:val="3C4043"/>
          <w:sz w:val="20"/>
        </w:rPr>
        <w:t>4.2 Deep-Dive Mechanics , Portfolio Component-by-Component</w:t>
      </w:r>
    </w:p>
    <w:p>
      <w:pPr>
        <w:pStyle w:val="ListBullet"/>
        <w:spacing w:before="20" w:after="40" w:line="276" w:lineRule="auto"/>
      </w:pPr>
      <w:r>
        <w:rPr>
          <w:b/>
        </w:rPr>
        <w:t>Google DeepMind</w:t>
      </w:r>
      <w:r>
        <w:t xml:space="preserve">: WeatherNext (operational weather risk forecasting relevant to offshore and LNG logistics), GNoME materials discovery (2.2 million candidate materials relevant to CCUS solvents and corrosion-resistant alloys), AlphaFold 3 (molecular simulation applicable to chemical catalyst design), and TORAX (a differentiable, JAX-based proxy physics simulator claimed to accelerate reservoir simulation by orders of magnitude versus traditional finite-difference solvers) </w:t>
      </w:r>
      <w:r>
        <w:rPr>
          <w:b/>
          <w:color w:val="1A73E8"/>
          <w:sz w:val="17"/>
        </w:rPr>
        <w:t xml:space="preserve"> [See Appendix D.2] </w:t>
      </w:r>
      <w:r>
        <w:t>. The engagement model is tiered (Strategic Research Partners, Applied Science Customers, Ecosystem Enablement , detailed in Appendix D.2), reflecting that only a small number of accounts can absorb true joint-research engagements while a broader set consumes DeepMind capability as a managed API.</w:t>
      </w:r>
    </w:p>
    <w:p>
      <w:pPr>
        <w:pStyle w:val="ListBullet"/>
        <w:spacing w:before="20" w:after="40" w:line="276" w:lineRule="auto"/>
      </w:pPr>
      <w:r>
        <w:rPr>
          <w:b/>
        </w:rPr>
        <w:t>Google Earth Engine Enterprise</w:t>
      </w:r>
      <w:r>
        <w:t>: 40+ years of continuous satellite imagery with native ML tooling, applied to methane plume detection, right-of-way (ROW) pipeline corridor monitoring, and CCUS storage-site geological screening. This is the only asset in the portfolio with no plausible hyperscaler-native equivalent, since it depends on decades of accumulated imagery licensing and processing infrastructure that cannot be replicated on a competitive timeline.</w:t>
      </w:r>
    </w:p>
    <w:p>
      <w:pPr>
        <w:pStyle w:val="ListBullet"/>
        <w:spacing w:before="20" w:after="40" w:line="276" w:lineRule="auto"/>
      </w:pPr>
      <w:r>
        <w:rPr>
          <w:b/>
        </w:rPr>
        <w:t>Google Security (Mandiant, Chronicle, Wiz)</w:t>
      </w:r>
      <w:r>
        <w:t xml:space="preserve">: Specialized OT/ICS threat intelligence, SCADA zero-trust monitoring, and incident response for critical energy assets , this is formally cross-referenced into Pillar 3 as well, reflecting that it functions simultaneously as a technology capability and an Alphabet-portfolio differentiator </w:t>
      </w:r>
      <w:r>
        <w:rPr>
          <w:b/>
          <w:color w:val="1A73E8"/>
          <w:sz w:val="17"/>
        </w:rPr>
        <w:t xml:space="preserve"> [See Appendix B.1] </w:t>
      </w:r>
      <w:r>
        <w:t>.</w:t>
      </w:r>
    </w:p>
    <w:p>
      <w:pPr>
        <w:pStyle w:val="ListBullet"/>
        <w:spacing w:before="20" w:after="40" w:line="276" w:lineRule="auto"/>
      </w:pPr>
      <w:r>
        <w:rPr>
          <w:b/>
        </w:rPr>
        <w:t>Tapestry (Alphabet X)</w:t>
      </w:r>
      <w:r>
        <w:t>: AI-powered grid planning and interconnection intelligence, directly relevant to the Energy Exchange (Pillar 5) bilateral power negotiations and to midstream/electrification-adjacent accounts (e.g., Williams Companies).</w:t>
      </w:r>
    </w:p>
    <w:p>
      <w:pPr>
        <w:pStyle w:val="ListBullet"/>
        <w:spacing w:before="20" w:after="40" w:line="276" w:lineRule="auto"/>
      </w:pPr>
      <w:r>
        <w:rPr>
          <w:b/>
        </w:rPr>
        <w:t>Google Energy Procurement</w:t>
      </w:r>
      <w:r>
        <w:t xml:space="preserve">: Google's own industrial-scale energy buying organization, which is the commercial counterparty in Project Interchange bilateral deals , this is the mechanism, not merely the rationale, for Pillar 5 </w:t>
      </w:r>
      <w:r>
        <w:rPr>
          <w:b/>
          <w:color w:val="1A73E8"/>
          <w:sz w:val="17"/>
        </w:rPr>
        <w:t xml:space="preserve"> [See Appendix D.1] </w:t>
      </w:r>
      <w:r>
        <w:t>.</w:t>
      </w:r>
    </w:p>
    <w:p>
      <w:pPr>
        <w:keepNext/>
        <w:spacing w:before="160" w:after="40"/>
      </w:pPr>
      <w:r>
        <w:rPr>
          <w:rFonts w:ascii="Arial" w:hAnsi="Arial"/>
          <w:b/>
          <w:color w:val="3C4043"/>
          <w:sz w:val="20"/>
        </w:rPr>
        <w:t>4.3 Critical Variables, Dependencies &amp; Edge Cases</w:t>
      </w:r>
    </w:p>
    <w:p>
      <w:pPr>
        <w:pStyle w:val="ListBullet"/>
        <w:spacing w:before="20" w:after="40" w:line="276" w:lineRule="auto"/>
      </w:pPr>
      <w:r>
        <w:rPr>
          <w:b/>
        </w:rPr>
        <w:t>Business-unit prioritization risk</w:t>
      </w:r>
      <w:r>
        <w:t xml:space="preserve">: DeepMind, Tapestry, and Earth Engine each report through independent Alphabet organizational structures with their own commercial priorities; none is structurally obligated to prioritize O&amp;G go-to-market requests over other Alphabet business lines. </w:t>
      </w:r>
      <w:r>
        <w:rPr>
          <w:rFonts w:ascii="Consolas" w:hAnsi="Consolas"/>
          <w:color w:val="B81237"/>
          <w:sz w:val="18"/>
        </w:rPr>
        <w:t>[Data/Verification Required: confirm the specific governance mechanism, if any, that guarantees O&amp;G GTM priority access to DeepMind research capacity described in Appendix D.2 tiering]</w:t>
      </w:r>
      <w:r>
        <w:t>.</w:t>
      </w:r>
    </w:p>
    <w:p>
      <w:pPr>
        <w:pStyle w:val="ListBullet"/>
        <w:spacing w:before="20" w:after="40" w:line="276" w:lineRule="auto"/>
      </w:pPr>
      <w:r>
        <w:rPr>
          <w:b/>
        </w:rPr>
        <w:t>Research-to-product timeline mismatch</w:t>
      </w:r>
      <w:r>
        <w:t>: Frontier science assets (AlphaFold 3, GNoME, TORAX) operate on research publication timelines, not enterprise sales cycle timelines , a customer-facing commitment to "TORAX-accelerated reservoir simulation" carries execution risk if the underlying research artifact is not yet productized to enterprise SLA standards.</w:t>
      </w:r>
    </w:p>
    <w:p>
      <w:pPr>
        <w:pStyle w:val="ListBullet"/>
        <w:spacing w:before="20" w:after="40" w:line="276" w:lineRule="auto"/>
      </w:pPr>
      <w:r>
        <w:rPr>
          <w:b/>
        </w:rPr>
        <w:t>IP and commercialization terms</w:t>
      </w:r>
      <w:r>
        <w:t>: Joint research engagements (DeepMind Tier 1, Appendix D.2) involve co-authored publications and shared pre-competitive IP , this requires operators to accept a different intellectual property posture than a standard commercial cloud contract, which can be a blocker for operators with conservative IP policies (particularly NOCs).</w:t>
      </w:r>
    </w:p>
    <w:p>
      <w:pPr>
        <w:keepNext/>
        <w:spacing w:before="160" w:after="40"/>
      </w:pPr>
      <w:r>
        <w:rPr>
          <w:rFonts w:ascii="Arial" w:hAnsi="Arial"/>
          <w:b/>
          <w:color w:val="3C4043"/>
          <w:sz w:val="20"/>
        </w:rPr>
        <w:t>4.4 Comparative Trade-Offs &amp; Strategic Implications</w:t>
      </w:r>
    </w:p>
    <w:tbl>
      <w:tblPr>
        <w:tblW w:type="auto" w:w="0"/>
        <w:jc w:val="center"/>
        <w:tblLayout w:type="fixed"/>
        <w:tblLook w:firstColumn="1" w:firstRow="1" w:lastColumn="0" w:lastRow="0" w:noHBand="0" w:noVBand="1" w:val="04A0"/>
      </w:tblPr>
      <w:tblGrid>
        <w:gridCol w:w="2484"/>
        <w:gridCol w:w="2484"/>
        <w:gridCol w:w="2484"/>
        <w:gridCol w:w="2484"/>
      </w:tblGrid>
      <w:tr>
        <w:trPr>
          <w:tblHeader/>
          <w:cantSplit/>
        </w:trPr>
        <w:tc>
          <w:tcPr>
            <w:tcW w:type="dxa" w:w="248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Alphabet Asset</w:t>
            </w:r>
          </w:p>
        </w:tc>
        <w:tc>
          <w:tcPr>
            <w:tcW w:type="dxa" w:w="248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Commercial Maturity</w:t>
            </w:r>
          </w:p>
        </w:tc>
        <w:tc>
          <w:tcPr>
            <w:tcW w:type="dxa" w:w="248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Differentiation Durability</w:t>
            </w:r>
          </w:p>
        </w:tc>
        <w:tc>
          <w:tcPr>
            <w:tcW w:type="dxa" w:w="248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Primary Use Case</w:t>
            </w:r>
          </w:p>
        </w:tc>
      </w:tr>
      <w:tr>
        <w:trPr>
          <w:cantSplit/>
        </w:trPr>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Google Earth Engine</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 , long-standing commercial product</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Very high , not replicable on any near-term competitive timeline</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Methane detection, ROW monitoring, CCUS site selection (near-term, sales-ready)</w:t>
            </w:r>
          </w:p>
        </w:tc>
      </w:tr>
      <w:tr>
        <w:trPr>
          <w:cantSplit/>
        </w:trPr>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Google Security (Mandiant/Chronicle/Wiz)</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 , established products with energy-sector track record</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 , requires years of accumulated threat intelligence to replicate</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OT/ICS defense, sovereign NOC security requirements (near-term, sales-ready)</w:t>
            </w:r>
          </w:p>
        </w:tc>
      </w:tr>
      <w:tr>
        <w:trPr>
          <w:cantSplit/>
        </w:trPr>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Tapestry</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Medium , newer Alphabet X program</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Medium</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Energy Exchange grid negotiations (near-term for pilot accounts only)</w:t>
            </w:r>
          </w:p>
        </w:tc>
      </w:tr>
      <w:tr>
        <w:trPr>
          <w:cantSplit/>
        </w:trPr>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DeepMind (GNoME, AlphaFold 3, TORAX, WeatherNext)</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Lower , research-stage or early productization</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Highest long-term, but requires careful expectation-setting</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Strategic/Think Big engagements with a small number of Tier 1-2 accounts (multi-year horizon)</w:t>
            </w:r>
          </w:p>
        </w:tc>
      </w:tr>
    </w:tbl>
    <w:p>
      <w:pPr>
        <w:spacing w:before="40" w:after="120"/>
      </w:pPr>
    </w:p>
    <w:p>
      <w:pPr>
        <w:spacing w:before="40" w:after="80" w:line="276" w:lineRule="auto"/>
      </w:pPr>
      <w:r>
        <w:t>The strategic implication is that Pillar 4 should be sequenced in field messaging by commercial maturity , Earth Engine and Google Security are sales-ready differentiators usable in any active deal today, while DeepMind assets should be positioned as Think Big / strategic-relationship differentiators for a small number of accounts, not promised broadly as near-term deliverables.</w:t>
      </w:r>
    </w:p>
    <w:p>
      <w:pPr>
        <w:spacing w:before="80" w:after="80"/>
      </w:pPr>
    </w:p>
    <w:p>
      <w:pPr>
        <w:keepNext/>
        <w:spacing w:before="200" w:after="60"/>
      </w:pPr>
      <w:r>
        <w:rPr>
          <w:rFonts w:ascii="Arial" w:hAnsi="Arial"/>
          <w:b/>
          <w:color w:val="202124"/>
          <w:sz w:val="22"/>
        </w:rPr>
        <w:t>Pillar 5: Energy Exchange , The Bilateral Operating System</w:t>
      </w:r>
    </w:p>
    <w:p>
      <w:pPr>
        <w:keepNext/>
        <w:spacing w:before="160" w:after="40"/>
      </w:pPr>
      <w:r>
        <w:rPr>
          <w:rFonts w:ascii="Arial" w:hAnsi="Arial"/>
          <w:b/>
          <w:color w:val="3C4043"/>
          <w:sz w:val="20"/>
        </w:rPr>
        <w:t>5.1 Core Architecture / Theoretical Foundation</w:t>
      </w:r>
    </w:p>
    <w:p>
      <w:pPr>
        <w:spacing w:before="40" w:after="80" w:line="276" w:lineRule="auto"/>
      </w:pPr>
      <w:r>
        <w:t xml:space="preserve">Project Interchange is built on a structural fact unique to Google among hyperscalers: Google is simultaneously one of the world's largest buyers of firm, dispatchable power (to fuel AI data center growth) and one of the world's largest providers of AI infrastructure to the operators who produce that power. This creates the conditions for a </w:t>
      </w:r>
      <w:r>
        <w:rPr>
          <w:b/>
        </w:rPr>
        <w:t>bilateral value exchange</w:t>
      </w:r>
      <w:r>
        <w:t xml:space="preserve"> rather than a conventional buyer-seller cloud contract , the energy operator's commitment is not a cloud spend commitment alone, but a power off-take commitment, and Google's counter-commitment is not a discount alone, but a bundle of preferential cloud economics, R&amp;D access, and infrastructure planning support </w:t>
      </w:r>
      <w:r>
        <w:rPr>
          <w:b/>
          <w:color w:val="1A73E8"/>
          <w:sz w:val="17"/>
        </w:rPr>
        <w:t xml:space="preserve"> [See Appendix D.1] </w:t>
      </w:r>
      <w:r>
        <w:t>.</w:t>
      </w:r>
    </w:p>
    <w:p>
      <w:pPr>
        <w:keepNext/>
        <w:spacing w:before="160" w:after="40"/>
      </w:pPr>
      <w:r>
        <w:rPr>
          <w:rFonts w:ascii="Arial" w:hAnsi="Arial"/>
          <w:b/>
          <w:color w:val="3C4043"/>
          <w:sz w:val="20"/>
        </w:rPr>
        <w:t>5.2 Deep-Dive Mechanics</w:t>
      </w:r>
    </w:p>
    <w:p>
      <w:pPr>
        <w:spacing w:before="40" w:after="80" w:line="276" w:lineRule="auto"/>
      </w:pPr>
      <w:r>
        <w:t xml:space="preserve">The mechanical structure, detailed in Appendix D.1, pairs commitments across four dimensions: </w:t>
      </w:r>
      <w:r>
        <w:rPr>
          <w:b/>
        </w:rPr>
        <w:t>Commercial Off-Take</w:t>
      </w:r>
      <w:r>
        <w:t xml:space="preserve"> (the operator provides a firm power PPA , gas, geothermal, nuclear SMR, or storage , in exchange for GCP consumption credits at an anchor pricing tier 20–40% below list); </w:t>
      </w:r>
      <w:r>
        <w:rPr>
          <w:b/>
        </w:rPr>
        <w:t>Infrastructure &amp; Land</w:t>
      </w:r>
      <w:r>
        <w:t xml:space="preserve"> (the operator provides power-adjacent land and grid interconnection rights in exchange for Tapestry grid-planning intelligence and WeatherNext operational risk forecasting, which can accelerate Google's own data center buildout timeline by an estimated 12–18 months); </w:t>
      </w:r>
      <w:r>
        <w:rPr>
          <w:b/>
        </w:rPr>
        <w:t>Technology Access</w:t>
      </w:r>
      <w:r>
        <w:t xml:space="preserve"> (the operator shares operational telemetry , SCADA, drilling, grid data , in exchange for priority TPU/GPU capacity guarantees and DeepMind Energy Lab R&amp;D access); and a defined set of </w:t>
      </w:r>
      <w:r>
        <w:rPr>
          <w:b/>
        </w:rPr>
        <w:t>pilot accounts</w:t>
      </w:r>
      <w:r>
        <w:t xml:space="preserve"> , EQT (Appalachian gas), Pertamina (Java geothermal), and TotalEnergies (global power portfolio) , each selected because they combine meaningful dispatchable power capacity with an existing or developing Google Cloud commercial relationship.</w:t>
      </w:r>
    </w:p>
    <w:p>
      <w:pPr>
        <w:keepNext/>
        <w:spacing w:before="160" w:after="40"/>
      </w:pPr>
      <w:r>
        <w:rPr>
          <w:rFonts w:ascii="Arial" w:hAnsi="Arial"/>
          <w:b/>
          <w:color w:val="3C4043"/>
          <w:sz w:val="20"/>
        </w:rPr>
        <w:t>5.3 Critical Variables, Dependencies &amp; Edge Cases</w:t>
      </w:r>
    </w:p>
    <w:p>
      <w:pPr>
        <w:pStyle w:val="ListBullet"/>
        <w:spacing w:before="20" w:after="40" w:line="276" w:lineRule="auto"/>
      </w:pPr>
      <w:r>
        <w:rPr>
          <w:b/>
        </w:rPr>
        <w:t>Preferential pricing and antitrust/fair-dealing exposure</w:t>
      </w:r>
      <w:r>
        <w:t xml:space="preserve">: Structuring GCP consumption discounts contingent on a power off-take commitment blends two distinct commercial relationships (cloud services and energy procurement) in a way that requires careful legal structuring to avoid the appearance of anticompetitive bundling or discriminatory pricing relative to non-power-supplying customers. </w:t>
      </w:r>
      <w:r>
        <w:rPr>
          <w:rFonts w:ascii="Consolas" w:hAnsi="Consolas"/>
          <w:color w:val="B81237"/>
          <w:sz w:val="18"/>
        </w:rPr>
        <w:t>[Data/Verification Required: confirm legal/regulatory review sign-off on the bundled discount structure described in Appendix D.1]</w:t>
      </w:r>
      <w:r>
        <w:t>.</w:t>
      </w:r>
    </w:p>
    <w:p>
      <w:pPr>
        <w:pStyle w:val="ListBullet"/>
        <w:spacing w:before="20" w:after="40" w:line="276" w:lineRule="auto"/>
      </w:pPr>
      <w:r>
        <w:rPr>
          <w:b/>
        </w:rPr>
        <w:t>PPA execution timelines vs. GTM timelines</w:t>
      </w:r>
      <w:r>
        <w:t>: Firm power PPAs are multi-year, capital-intensive infrastructure commitments with permitting, interconnection, and construction timelines that operate on a materially longer cycle than a typical enterprise software or cloud sales cycle , the Energy Exchange framework should not be modeled on the same 12-24 month conversion assumptions used elsewhere in the account offense (Pillar 1).</w:t>
      </w:r>
    </w:p>
    <w:p>
      <w:pPr>
        <w:pStyle w:val="ListBullet"/>
        <w:spacing w:before="20" w:after="40" w:line="276" w:lineRule="auto"/>
      </w:pPr>
      <w:r>
        <w:rPr>
          <w:b/>
        </w:rPr>
        <w:t>Counterparty concentration risk</w:t>
      </w:r>
      <w:r>
        <w:t>: With only three named pilot accounts, the entire Think Big Energy Exchange thesis is currently dependent on the successful conversion of a very small sample , a stall or reversal at any one of the three pilots (e.g., EQT prioritizing a different power off-taker) materially undermines the evidentiary basis for scaling the model further.</w:t>
      </w:r>
    </w:p>
    <w:p>
      <w:pPr>
        <w:keepNext/>
        <w:spacing w:before="160" w:after="40"/>
      </w:pPr>
      <w:r>
        <w:rPr>
          <w:rFonts w:ascii="Arial" w:hAnsi="Arial"/>
          <w:b/>
          <w:color w:val="3C4043"/>
          <w:sz w:val="20"/>
        </w:rPr>
        <w:t>5.4 Comparative Trade-Offs &amp; Strategic Implications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Dimension</w:t>
            </w:r>
          </w:p>
        </w:tc>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Traditional Cloud Commercial Model</w:t>
            </w:r>
          </w:p>
        </w:tc>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Energy Exchange Bilateral Model</w:t>
            </w:r>
          </w:p>
        </w:tc>
      </w:tr>
      <w:tr>
        <w:trPr>
          <w:cantSplit/>
        </w:trPr>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Commitment structure</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Cloud consumption commitment only</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Cloud consumption + physical power off-take commitment</w:t>
            </w:r>
          </w:p>
        </w:tc>
      </w:tr>
      <w:tr>
        <w:trPr>
          <w:cantSplit/>
        </w:trPr>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Deal cycle length</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Months to low-single-digit years</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Multi-year, tied to power infrastructure permitting/construction</w:t>
            </w:r>
          </w:p>
        </w:tc>
      </w:tr>
      <w:tr>
        <w:trPr>
          <w:cantSplit/>
        </w:trPr>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Counterparty complexity</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Single commercial relationship (Cloud)</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Dual relationship (Cloud + Google Energy Procurement) requiring coordinated internal governance</w:t>
            </w:r>
          </w:p>
        </w:tc>
      </w:tr>
      <w:tr>
        <w:trPr>
          <w:cantSplit/>
        </w:trPr>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Differentiation vs. AWS/Azure</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Replicable in principle by any hyperscaler with sufficient cloud discounting authority</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Not replicable without a comparable internal industrial energy-buying organization , this is Google's most structurally defensible pillar</w:t>
            </w:r>
          </w:p>
        </w:tc>
      </w:tr>
      <w:tr>
        <w:trPr>
          <w:cantSplit/>
        </w:trPr>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Risk profile</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Lower , standard commercial terms</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Higher , exposure to energy market volatility, regulatory bundling scrutiny, and long-cycle infrastructure risk</w:t>
            </w:r>
          </w:p>
        </w:tc>
      </w:tr>
    </w:tbl>
    <w:p>
      <w:pPr>
        <w:spacing w:before="40" w:after="120"/>
      </w:pPr>
    </w:p>
    <w:p>
      <w:pPr>
        <w:spacing w:before="80" w:after="80"/>
      </w:pPr>
    </w:p>
    <w:p>
      <w:pPr>
        <w:keepNext/>
        <w:spacing w:before="200" w:after="60"/>
      </w:pPr>
      <w:r>
        <w:rPr>
          <w:rFonts w:ascii="Arial" w:hAnsi="Arial"/>
          <w:b/>
          <w:color w:val="202124"/>
          <w:sz w:val="22"/>
        </w:rPr>
        <w:t>Pillar 6: THINK BIG , Three Transformative Initiatives</w:t>
      </w:r>
    </w:p>
    <w:p>
      <w:pPr>
        <w:keepNext/>
        <w:spacing w:before="160" w:after="40"/>
      </w:pPr>
      <w:r>
        <w:rPr>
          <w:rFonts w:ascii="Arial" w:hAnsi="Arial"/>
          <w:b/>
          <w:color w:val="3C4043"/>
          <w:sz w:val="20"/>
        </w:rPr>
        <w:t>6.1 Core Architecture / Theoretical Foundation</w:t>
      </w:r>
    </w:p>
    <w:p>
      <w:pPr>
        <w:spacing w:before="40" w:after="80" w:line="276" w:lineRule="auto"/>
      </w:pPr>
      <w:r>
        <w:t>THINK BIG initiatives are explicitly distinguished from the account offense (Pillar 1) by time horizon and strategic intent , they are not near-term revenue motions but category-defining bets designed to establish Google Cloud as the definitive platform for entirely new technology categories (bilateral energy-AI exchange, frontier science R&amp;D for energy, and CCUS digital infrastructure) before competitors recognize the categories exist as addressable markets.</w:t>
      </w:r>
    </w:p>
    <w:p>
      <w:pPr>
        <w:keepNext/>
        <w:spacing w:before="160" w:after="40"/>
      </w:pPr>
      <w:r>
        <w:rPr>
          <w:rFonts w:ascii="Arial" w:hAnsi="Arial"/>
          <w:b/>
          <w:color w:val="3C4043"/>
          <w:sz w:val="20"/>
        </w:rPr>
        <w:t>6.2 Deep-Dive Mechanics , The Three Initiatives</w:t>
      </w:r>
    </w:p>
    <w:p>
      <w:pPr>
        <w:pStyle w:val="ListNumber"/>
        <w:spacing w:before="40" w:after="60" w:line="276" w:lineRule="auto"/>
      </w:pPr>
      <w:r>
        <w:rPr>
          <w:b/>
        </w:rPr>
        <w:t>Project Interchange</w:t>
      </w:r>
      <w:r>
        <w:t>: Bilateral Energy-AI Operating System, detailed fully in Pillar 5 and Appendix D.1.</w:t>
      </w:r>
    </w:p>
    <w:p>
      <w:pPr>
        <w:pStyle w:val="ListNumber"/>
        <w:spacing w:before="40" w:after="60" w:line="276" w:lineRule="auto"/>
      </w:pPr>
      <w:r>
        <w:rPr>
          <w:b/>
        </w:rPr>
        <w:t>DeepMind Energy Lab</w:t>
      </w:r>
      <w:r>
        <w:t>: A joint frontier science R&amp;D program for molecular discovery (CCUS solvents, corrosion alloys via GNoME; chemical catalysts via AlphaFold 3) and physics simulation (reservoir modeling via TORAX), structured across the three engagement tiers detailed in Appendix D.2.</w:t>
      </w:r>
    </w:p>
    <w:p>
      <w:pPr>
        <w:pStyle w:val="ListNumber"/>
        <w:spacing w:before="40" w:after="60" w:line="276" w:lineRule="auto"/>
      </w:pPr>
      <w:r>
        <w:rPr>
          <w:b/>
        </w:rPr>
        <w:t>CCUS Transformation Partnerships</w:t>
      </w:r>
      <w:r>
        <w:t xml:space="preserve">: An end-to-end AI platform strategy for three anchor mega-consortiums , </w:t>
      </w:r>
      <w:r>
        <w:rPr>
          <w:b/>
        </w:rPr>
        <w:t>ExxonMobil Gulf Coast Hub</w:t>
      </w:r>
      <w:r>
        <w:t xml:space="preserve"> ($12.0B+ CapEx, 9→50+ MTPA), </w:t>
      </w:r>
      <w:r>
        <w:rPr>
          <w:b/>
        </w:rPr>
        <w:t>UK East Coast Cluster</w:t>
      </w:r>
      <w:r>
        <w:t xml:space="preserve"> ($25.0B+/£20B CapEx, 4→23 MTPA by 2035), and </w:t>
      </w:r>
      <w:r>
        <w:rPr>
          <w:b/>
        </w:rPr>
        <w:t>Project Greensand</w:t>
      </w:r>
      <w:r>
        <w:t xml:space="preserve"> ($3.8B/€3.5B CapEx, 0.4→8 MTPA by 2030). Combined, these represent </w:t>
      </w:r>
      <w:r>
        <w:rPr>
          <w:b/>
        </w:rPr>
        <w:t>$40.8B+ in physical CapEx</w:t>
      </w:r>
      <w:r>
        <w:t xml:space="preserve">, a targeted </w:t>
      </w:r>
      <w:r>
        <w:rPr>
          <w:b/>
        </w:rPr>
        <w:t>$315M–$530M/yr in direct GCP cloud spend</w:t>
      </w:r>
      <w:r>
        <w:t xml:space="preserve">, and an estimated </w:t>
      </w:r>
      <w:r>
        <w:rPr>
          <w:b/>
        </w:rPr>
        <w:t>$1,400M+ in leveraged enterprise cloud pull-through</w:t>
      </w:r>
      <w:r>
        <w:t xml:space="preserve"> across parent-company IT estates </w:t>
      </w:r>
      <w:r>
        <w:rPr>
          <w:b/>
          <w:color w:val="1A73E8"/>
          <w:sz w:val="17"/>
        </w:rPr>
        <w:t xml:space="preserve"> [See Appendix D.3 &amp; the dedicated CCUS Executive Strategy Briefing (google_cloud_ccus_think_big_strategy.pdf)] </w:t>
      </w:r>
      <w:r>
        <w:t>.</w:t>
      </w:r>
    </w:p>
    <w:p>
      <w:pPr>
        <w:keepNext/>
        <w:spacing w:before="160" w:after="40"/>
      </w:pPr>
      <w:r>
        <w:rPr>
          <w:rFonts w:ascii="Arial" w:hAnsi="Arial"/>
          <w:b/>
          <w:color w:val="3C4043"/>
          <w:sz w:val="20"/>
        </w:rPr>
        <w:t>6.3 Critical Variables, Dependencies &amp; Edge Cases</w:t>
      </w:r>
    </w:p>
    <w:p>
      <w:pPr>
        <w:pStyle w:val="ListBullet"/>
        <w:spacing w:before="20" w:after="40" w:line="276" w:lineRule="auto"/>
      </w:pPr>
      <w:r>
        <w:rPr>
          <w:b/>
        </w:rPr>
        <w:t>CCUS regulatory and 45Q-equivalent policy dependency</w:t>
      </w:r>
      <w:r>
        <w:t>: The entire CCUS Transformation Partnerships initiative is downstream of continued regulatory and fiscal support for carbon capture (US 45Q tax credits, UK/EU carbon storage frameworks) , a material policy reversal in any of the three jurisdictions would directly compress the CapEx pipeline underlying the $40.8B figure.</w:t>
      </w:r>
    </w:p>
    <w:p>
      <w:pPr>
        <w:pStyle w:val="ListBullet"/>
        <w:spacing w:before="20" w:after="40" w:line="276" w:lineRule="auto"/>
      </w:pPr>
      <w:r>
        <w:rPr>
          <w:b/>
        </w:rPr>
        <w:t>Consortium governance complexity</w:t>
      </w:r>
      <w:r>
        <w:t>: Each anchor consortium involves multiple independent operator partners (e.g., BP, Equinor, and TotalEnergies jointly in the East Coast Cluster) with no single decision-maker , the sales and delivery motion must be structured for multi-party governance rather than a standard single-operator enterprise sale.</w:t>
      </w:r>
    </w:p>
    <w:p>
      <w:pPr>
        <w:pStyle w:val="ListBullet"/>
        <w:spacing w:before="20" w:after="40" w:line="276" w:lineRule="auto"/>
      </w:pPr>
      <w:r>
        <w:rPr>
          <w:b/>
        </w:rPr>
        <w:t>Pull-through revenue realization risk</w:t>
      </w:r>
      <w:r>
        <w:t xml:space="preserve">: The </w:t>
      </w:r>
      <w:r>
        <w:rPr>
          <w:b/>
        </w:rPr>
        <w:t>$1,400M+ leveraged enterprise cloud pull-through</w:t>
      </w:r>
      <w:r>
        <w:t xml:space="preserve"> figure represents a modeled upside contingent on parent-company IT estates (e.g., ExxonMobil's broader enterprise cloud footprint, not just the LCS hub) migrating workloads as a second-order consequence of the CCUS platform win , this is explicitly a leading indicator, not a contracted or committed figure, and should be reported to executive stakeholders with that distinction preserved </w:t>
      </w:r>
      <w:r>
        <w:rPr>
          <w:b/>
          <w:color w:val="1A73E8"/>
          <w:sz w:val="17"/>
        </w:rPr>
        <w:t xml:space="preserve"> [See Appendix D.3 footnote on steady-state baseline range of $70M-$125M/yr] </w:t>
      </w:r>
      <w:r>
        <w:t>.</w:t>
      </w:r>
    </w:p>
    <w:p>
      <w:pPr>
        <w:keepNext/>
        <w:spacing w:before="160" w:after="40"/>
      </w:pPr>
      <w:r>
        <w:rPr>
          <w:rFonts w:ascii="Arial" w:hAnsi="Arial"/>
          <w:b/>
          <w:color w:val="3C4043"/>
          <w:sz w:val="20"/>
        </w:rPr>
        <w:t>6.4 Comparative Trade-Offs &amp; Strategic Implications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cantSplit/>
        </w:trPr>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Initiative</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Time to First Revenue</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Capital Intensity of Underlying Market</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Competitive Exposure</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Strategic Payoff if Successful</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Project Interchange</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Long (multi-year, tied to PPA execution)</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Very high (physical power infrastructure)</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Structurally low , no hyperscaler has a comparable energy-buying organization</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Durable, hard-to-replicate commercial moat</w:t>
            </w:r>
          </w:p>
        </w:tc>
      </w:tr>
      <w:tr>
        <w:trPr>
          <w:cantSplit/>
        </w:trPr>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DeepMind Energy Lab</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Long for Tier 1 strategic research; moderate for Tier 2 applied science</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 direct capital intensity, high R&amp;D intensity</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 near-term (no hyperscaler has comparable frontier research org) but rising as competitors build internal science teams</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Category-defining scientific credibility with the most sophisticated operators</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CCUS Transformation Partnerships</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Moderate (near-term platform revenue against already-committed consortium CapEx)</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Extremely high (tens of billions in physical infrastructure already committed by operators)</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Currently low , no hyperscaler has established CCUS platform dominance, but this is the most contestable of the three initiatives given lower structural barriers to competitor entry</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First-mover ownership of an entirely new digital infrastructure category</w:t>
            </w:r>
          </w:p>
        </w:tc>
      </w:tr>
    </w:tbl>
    <w:p>
      <w:pPr>
        <w:spacing w:before="40" w:after="120"/>
      </w:pPr>
    </w:p>
    <w:p>
      <w:pPr>
        <w:spacing w:before="40" w:after="80" w:line="276" w:lineRule="auto"/>
      </w:pPr>
      <w:r>
        <w:t>The overarching strategic implication across all three THINK BIG initiatives is that they trade near-term, measurable ARR (the domain of Pillar 1) for long-horizon, structurally defensible category ownership , this is an appropriate allocation of a minority of GTM resources, but the 90-day roadmap (Part IV) and OKRs (Part V) must not be evaluated against Pillar 1-style short-cycle conversion metrics, or THINK BIG investment will be systematically under-funded in favor of easier, smaller near-term wins.</w:t>
      </w:r>
    </w:p>
    <w:p>
      <w:pPr>
        <w:spacing w:before="80" w:after="80"/>
      </w:pPr>
    </w:p>
    <w:p>
      <w:pPr>
        <w:keepNext/>
        <w:spacing w:before="280" w:after="80"/>
        <w:pBdr>
          <w:bottom w:val="single" w:sz="6" w:space="3" w:color="DADCE0"/>
        </w:pBdr>
      </w:pPr>
      <w:r>
        <w:rPr>
          <w:rFonts w:ascii="Arial" w:hAnsi="Arial"/>
          <w:b/>
          <w:color w:val="174EA6"/>
          <w:sz w:val="26"/>
        </w:rPr>
        <w:t>Part III: Competitive Intelligence , Full Comparative Assessment</w:t>
      </w:r>
    </w:p>
    <w:p>
      <w:pPr>
        <w:spacing w:before="40" w:after="80" w:line="276" w:lineRule="auto"/>
      </w:pPr>
      <w:r>
        <w:t>A credible competitive intelligence section must document not only where Google Cloud leads, but where it is at parity or behind , presenting only favorable comparisons would leave the sales force unprepared for the objections it will actually encounter in the field, particularly against AWS's 37% incumbency and Azure's Microsoft-ecosystem lock-in. This section follows the required structure for each competitive dimension: the architectural basis of the claim, the operating mechanics that produce the advantage or gap, the variables that could shift the comparison, and the strategic implication for how the sales motion should be positioned.</w:t>
      </w:r>
    </w:p>
    <w:p>
      <w:pPr>
        <w:keepNext/>
        <w:spacing w:before="200" w:after="60"/>
      </w:pPr>
      <w:r>
        <w:rPr>
          <w:rFonts w:ascii="Arial" w:hAnsi="Arial"/>
          <w:b/>
          <w:color w:val="202124"/>
          <w:sz w:val="22"/>
        </w:rPr>
        <w:t>3.1 Head-to-Head Capability Analysis , Where We Lead Decisively</w:t>
      </w:r>
    </w:p>
    <w:p>
      <w:pPr>
        <w:keepNext/>
        <w:spacing w:before="160" w:after="40"/>
      </w:pPr>
      <w:r>
        <w:rPr>
          <w:rFonts w:ascii="Arial" w:hAnsi="Arial"/>
          <w:b/>
          <w:color w:val="3C4043"/>
          <w:sz w:val="20"/>
        </w:rPr>
        <w:t>Google AI &amp; Gemini Enterprise Platform</w:t>
      </w:r>
    </w:p>
    <w:p>
      <w:pPr>
        <w:spacing w:before="40" w:after="80" w:line="276" w:lineRule="auto"/>
      </w:pPr>
      <w:r>
        <w:rPr>
          <w:i/>
        </w:rPr>
        <w:t>Core Architecture.</w:t>
      </w:r>
      <w:r>
        <w:t xml:space="preserve"> Google Cloud provides an end-to-end, governed agentic platform combining Vertex AI Agent Builder, native multimodal reasoning, 2M-token context capability, domain model hosting in Model Garden, and native Workspace integration. Competitors offer point solutions (AWS Bedrock, Azure OpenAI) that require extensive custom orchestration glue and lack native industrial agent governance </w:t>
      </w:r>
      <w:r>
        <w:rPr>
          <w:b/>
          <w:color w:val="1A73E8"/>
          <w:sz w:val="17"/>
        </w:rPr>
        <w:t xml:space="preserve"> [See Appendix B.1 &amp; B.3] </w:t>
      </w:r>
      <w:r>
        <w:t>.</w:t>
      </w:r>
    </w:p>
    <w:p>
      <w:pPr>
        <w:spacing w:before="40" w:after="80" w:line="276" w:lineRule="auto"/>
      </w:pPr>
      <w:r>
        <w:rPr>
          <w:i/>
        </w:rPr>
        <w:t>Deep-Dive Mechanics.</w:t>
      </w:r>
      <w:r>
        <w:t xml:space="preserve"> The differentiation is concentrated in the </w:t>
      </w:r>
      <w:r>
        <w:rPr>
          <w:b/>
        </w:rPr>
        <w:t>orchestration and governance layer</w:t>
      </w:r>
      <w:r>
        <w:t>, not in underlying model quality alone , Bedrock and Azure OpenAI both provide access to strong foundation models (including, in Bedrock's case, Anthropic's Claude models), but neither ships a native, pre-built industrial agent pipeline with deterministic human-approval gating and audit logging as a first-party product; a customer building an equivalent governed pipeline on AWS or Azure must assemble it from Step Functions/Logic Apps, custom approval workflows, and third-party audit tooling.</w:t>
      </w:r>
    </w:p>
    <w:p>
      <w:pPr>
        <w:spacing w:before="40" w:after="80" w:line="276" w:lineRule="auto"/>
      </w:pPr>
      <w:r>
        <w:rPr>
          <w:i/>
        </w:rPr>
        <w:t>Critical Variables.</w:t>
      </w:r>
      <w:r>
        <w:t xml:space="preserve"> This advantage is time-limited by nature , agent orchestration frameworks are a fast-moving competitive category, and AWS/Azure investment in native agent governance tooling should be assumed to close part of this gap within the strategy's three-year horizon, not treated as a permanent structural moat </w:t>
      </w:r>
      <w:r>
        <w:rPr>
          <w:rFonts w:ascii="Consolas" w:hAnsi="Consolas"/>
          <w:color w:val="B81237"/>
          <w:sz w:val="18"/>
        </w:rPr>
        <w:t>[Data/Verification Required: no independent third-party benchmark of agent-governance maturity across the three hyperscalers is cited in this document , this comparison is currently based on internal capability assessment].</w:t>
      </w:r>
    </w:p>
    <w:p>
      <w:pPr>
        <w:spacing w:before="40" w:after="80" w:line="276" w:lineRule="auto"/>
      </w:pPr>
      <w:r>
        <w:rPr>
          <w:i/>
        </w:rPr>
        <w:t>Strategic Implication.</w:t>
      </w:r>
      <w:r>
        <w:t xml:space="preserve"> This should be positioned as a </w:t>
      </w:r>
      <w:r>
        <w:rPr>
          <w:b/>
        </w:rPr>
        <w:t>current-state technical lead with a defined competitive shelf-life</w:t>
      </w:r>
      <w:r>
        <w:t xml:space="preserve"> , the sales motion should emphasize speed-to-value now while the field enablement kits (Appendix E.2) are refreshed at least quarterly to reflect the evolving competitive baseline, rather than treating the Appendix B.1 comparison matrix as a static, one-time asset.</w:t>
      </w:r>
    </w:p>
    <w:p>
      <w:pPr>
        <w:keepNext/>
        <w:spacing w:before="160" w:after="40"/>
      </w:pPr>
      <w:r>
        <w:rPr>
          <w:rFonts w:ascii="Arial" w:hAnsi="Arial"/>
          <w:b/>
          <w:color w:val="3C4043"/>
          <w:sz w:val="20"/>
        </w:rPr>
        <w:t>OT/ICS &amp; Critical Energy Infrastructure Security</w:t>
      </w:r>
    </w:p>
    <w:p>
      <w:pPr>
        <w:spacing w:before="40" w:after="80" w:line="276" w:lineRule="auto"/>
      </w:pPr>
      <w:r>
        <w:rPr>
          <w:i/>
        </w:rPr>
        <w:t>Core Architecture.</w:t>
      </w:r>
      <w:r>
        <w:t xml:space="preserve"> Mandiant's frontline threat intelligence on state-sponsored actors targeting energy infrastructure (Triton/TRISIS, Sandworm, Volt Typhoon) integrated with Chronicle security operations and Wiz CSPM provides an OT/ICS defense posture distinct from AWS GuardDuty or Azure Sentinel </w:t>
      </w:r>
      <w:r>
        <w:rPr>
          <w:b/>
          <w:color w:val="1A73E8"/>
          <w:sz w:val="17"/>
        </w:rPr>
        <w:t xml:space="preserve"> [See Appendix B.1] </w:t>
      </w:r>
      <w:r>
        <w:t>.</w:t>
      </w:r>
    </w:p>
    <w:p>
      <w:pPr>
        <w:spacing w:before="40" w:after="80" w:line="276" w:lineRule="auto"/>
      </w:pPr>
      <w:r>
        <w:rPr>
          <w:i/>
        </w:rPr>
        <w:t>Deep-Dive Mechanics.</w:t>
      </w:r>
      <w:r>
        <w:t xml:space="preserve"> The advantage stems specifically from </w:t>
      </w:r>
      <w:r>
        <w:rPr>
          <w:b/>
        </w:rPr>
        <w:t>incident-response lineage</w:t>
      </w:r>
      <w:r>
        <w:t xml:space="preserve"> , Mandiant's threat intelligence is built on a long history of direct incident-response engagements with critical infrastructure victims, which produces a qualitatively different intelligence product than a cloud-native security monitoring service built primarily on telemetry from within the cloud provider's own infrastructure. GuardDuty and Sentinel are strong for cloud-native IT security posture but have comparatively limited native OT/ICS protocol awareness (e.g., Modbus, DNP3, OPC-UA).</w:t>
      </w:r>
    </w:p>
    <w:p>
      <w:pPr>
        <w:spacing w:before="40" w:after="80" w:line="276" w:lineRule="auto"/>
      </w:pPr>
      <w:r>
        <w:rPr>
          <w:i/>
        </w:rPr>
        <w:t>Critical Variables.</w:t>
      </w:r>
      <w:r>
        <w:t xml:space="preserve"> Microsoft has been actively investing in Defender for IoT and OT-specific detection capabilities; this gap, while currently real, should not be assumed static </w:t>
      </w:r>
      <w:r>
        <w:rPr>
          <w:rFonts w:ascii="Consolas" w:hAnsi="Consolas"/>
          <w:color w:val="B81237"/>
          <w:sz w:val="18"/>
        </w:rPr>
        <w:t>[Data/Verification Required: current comparative maturity of Microsoft Defender for IoT vs. Mandiant/Chronicle OT coverage as of this document's publication date]</w:t>
      </w:r>
      <w:r>
        <w:t>.</w:t>
      </w:r>
    </w:p>
    <w:p>
      <w:pPr>
        <w:spacing w:before="40" w:after="80" w:line="276" w:lineRule="auto"/>
      </w:pPr>
      <w:r>
        <w:rPr>
          <w:i/>
        </w:rPr>
        <w:t>Strategic Implication.</w:t>
      </w:r>
      <w:r>
        <w:t xml:space="preserve"> This is among the most durable advantages in the portfolio given the multi-year lead time required to build comparable frontline threat-intelligence depth, and it should be the leading wedge into Tier 2 NOC and Tier 4 midstream accounts where OT security is the primary buying trigger.</w:t>
      </w:r>
    </w:p>
    <w:p>
      <w:pPr>
        <w:keepNext/>
        <w:spacing w:before="160" w:after="40"/>
      </w:pPr>
      <w:r>
        <w:rPr>
          <w:rFonts w:ascii="Arial" w:hAnsi="Arial"/>
          <w:b/>
          <w:color w:val="3C4043"/>
          <w:sz w:val="20"/>
        </w:rPr>
        <w:t>Multicloud In-Place Analytics</w:t>
      </w:r>
    </w:p>
    <w:p>
      <w:pPr>
        <w:spacing w:before="40" w:after="80" w:line="276" w:lineRule="auto"/>
      </w:pPr>
      <w:r>
        <w:rPr>
          <w:i/>
        </w:rPr>
        <w:t>Core Architecture.</w:t>
      </w:r>
      <w:r>
        <w:t xml:space="preserve"> BigQuery Omni and BigLake enable federated query execution over data residing in AWS S3 and Azure ADLS without data relocation </w:t>
      </w:r>
      <w:r>
        <w:rPr>
          <w:b/>
          <w:color w:val="1A73E8"/>
          <w:sz w:val="17"/>
        </w:rPr>
        <w:t xml:space="preserve"> [See Appendix B.1] </w:t>
      </w:r>
      <w:r>
        <w:t>.</w:t>
      </w:r>
    </w:p>
    <w:p>
      <w:pPr>
        <w:spacing w:before="40" w:after="80" w:line="276" w:lineRule="auto"/>
      </w:pPr>
      <w:r>
        <w:rPr>
          <w:i/>
        </w:rPr>
        <w:t>Deep-Dive Mechanics.</w:t>
      </w:r>
      <w:r>
        <w:t xml:space="preserve"> The mechanical advantage is the removal of </w:t>
      </w:r>
      <w:r>
        <w:rPr>
          <w:b/>
        </w:rPr>
        <w:t>data-gravity lock-in</w:t>
      </w:r>
      <w:r>
        <w:t xml:space="preserve"> as a viable incumbent defense , Redshift Spectrum requires data staging/ETL and Synapse Link has materially constrained cross-cloud federation, whereas BigQuery Omni's architecture is purpose-built for zero-egress, in-place federated query, which directly negates the single most common objection ("we can't move our data") raised in fortress-account (Shell, Chevron, Oxy, Equinor) conversations.</w:t>
      </w:r>
    </w:p>
    <w:p>
      <w:pPr>
        <w:spacing w:before="40" w:after="80" w:line="276" w:lineRule="auto"/>
      </w:pPr>
      <w:r>
        <w:rPr>
          <w:i/>
        </w:rPr>
        <w:t>Critical Variables.</w:t>
      </w:r>
      <w:r>
        <w:t xml:space="preserve"> Query performance on federated (non-native) data is inherently bound by cross-cloud network egress and the source cloud's own storage read performance , this is not a "free" capability, and setting unrealistic latency expectations in a fortress-account pilot can undermine the wedge's credibility if the customer's AWS/Azure storage tier itself is a bottleneck.</w:t>
      </w:r>
    </w:p>
    <w:p>
      <w:pPr>
        <w:spacing w:before="40" w:after="80" w:line="276" w:lineRule="auto"/>
      </w:pPr>
      <w:r>
        <w:rPr>
          <w:i/>
        </w:rPr>
        <w:t>Strategic Implication.</w:t>
      </w:r>
      <w:r>
        <w:t xml:space="preserve"> This is the correct lead technical argument specifically for the Fortress Account Co-Existence doctrine (Pillar 1) and should be paired with a realistic, workload-specific performance benchmark rather than a generic claim, since fortress-account technical buyers are sophisticated enough to stress-test vague performance claims.</w:t>
      </w:r>
    </w:p>
    <w:p>
      <w:pPr>
        <w:keepNext/>
        <w:spacing w:before="160" w:after="40"/>
      </w:pPr>
      <w:r>
        <w:rPr>
          <w:rFonts w:ascii="Arial" w:hAnsi="Arial"/>
          <w:b/>
          <w:color w:val="3C4043"/>
          <w:sz w:val="20"/>
        </w:rPr>
        <w:t>Custom AI Silicon Economics</w:t>
      </w:r>
    </w:p>
    <w:p>
      <w:pPr>
        <w:spacing w:before="40" w:after="80" w:line="276" w:lineRule="auto"/>
      </w:pPr>
      <w:r>
        <w:rPr>
          <w:i/>
        </w:rPr>
        <w:t>Core Architecture.</w:t>
      </w:r>
      <w:r>
        <w:t xml:space="preserve"> Trillium v6e and TPU v5p chips offer TCO advantages for optimized inference workloads </w:t>
      </w:r>
      <w:r>
        <w:rPr>
          <w:b/>
          <w:color w:val="1A73E8"/>
          <w:sz w:val="17"/>
        </w:rPr>
        <w:t xml:space="preserve"> [See Appendix B.1] </w:t>
      </w:r>
      <w:r>
        <w:t>.</w:t>
      </w:r>
    </w:p>
    <w:p>
      <w:pPr>
        <w:spacing w:before="40" w:after="80" w:line="276" w:lineRule="auto"/>
      </w:pPr>
      <w:r>
        <w:rPr>
          <w:i/>
        </w:rPr>
        <w:t>Deep-Dive Mechanics.</w:t>
      </w:r>
      <w:r>
        <w:t xml:space="preserve"> The advantage is workload-specific, not universal , TPU economics are strongest for inference and training workloads that can be architected natively for the TPU software stack (JAX/XLA-optimized); workloads with heavy dependency on CUDA-specific tooling or third-party GPU-optimized ISV software (common in seismic processing) do not automatically inherit the TPU cost advantage and may in practice run on GPU infrastructure (A3 Ultra) regardless of the TPU pricing argument.</w:t>
      </w:r>
    </w:p>
    <w:p>
      <w:pPr>
        <w:spacing w:before="40" w:after="80" w:line="276" w:lineRule="auto"/>
      </w:pPr>
      <w:r>
        <w:rPr>
          <w:i/>
        </w:rPr>
        <w:t>Critical Variables.</w:t>
      </w:r>
      <w:r>
        <w:t xml:space="preserve"> The </w:t>
      </w:r>
      <w:r>
        <w:rPr>
          <w:b/>
        </w:rPr>
        <w:t>"up to 50% TCO savings"</w:t>
      </w:r>
      <w:r>
        <w:t xml:space="preserve"> figure cited in Appendix B.1 should be understood as a best-case, workload-optimized figure </w:t>
      </w:r>
      <w:r>
        <w:rPr>
          <w:rFonts w:ascii="Consolas" w:hAnsi="Consolas"/>
          <w:color w:val="B81237"/>
          <w:sz w:val="18"/>
        </w:rPr>
        <w:t>[Data/Verification Required: independent benchmark methodology and workload assumptions underlying the 50% TCO figure are not detailed in the source document]</w:t>
      </w:r>
      <w:r>
        <w:t>, not a guaranteed outcome across all O&amp;G AI workload types , this distinction matters materially in technical due-diligence conversations with sophisticated buyers (e.g., TotalEnergies, Aramco).</w:t>
      </w:r>
    </w:p>
    <w:p>
      <w:pPr>
        <w:spacing w:before="40" w:after="80" w:line="276" w:lineRule="auto"/>
      </w:pPr>
      <w:r>
        <w:rPr>
          <w:i/>
        </w:rPr>
        <w:t>Strategic Implication.</w:t>
      </w:r>
      <w:r>
        <w:t xml:space="preserve"> Position this advantage precisely , as a strong argument specifically for domain foundation model training/hosting (Pillar 2's Timeseries/Subsurface FM program) and Gemini Enterprise inference, and avoid extending it as a blanket claim to GPU-bound HPC seismic workloads, where the A3 Ultra GPU benchmark (Appendix B.2) is the more defensible and specific claim to lead with.</w:t>
      </w:r>
    </w:p>
    <w:p>
      <w:pPr>
        <w:keepNext/>
        <w:spacing w:before="160" w:after="40"/>
      </w:pPr>
      <w:r>
        <w:rPr>
          <w:rFonts w:ascii="Arial" w:hAnsi="Arial"/>
          <w:b/>
          <w:color w:val="3C4043"/>
          <w:sz w:val="20"/>
        </w:rPr>
        <w:t>Geospatial Satellite AI</w:t>
      </w:r>
    </w:p>
    <w:p>
      <w:pPr>
        <w:spacing w:before="40" w:after="80" w:line="276" w:lineRule="auto"/>
      </w:pPr>
      <w:r>
        <w:rPr>
          <w:i/>
        </w:rPr>
        <w:t>Core Architecture.</w:t>
      </w:r>
      <w:r>
        <w:t xml:space="preserve"> Google Earth Engine's 40+ years of imagery with native ML has no direct hyperscaler-native equivalent </w:t>
      </w:r>
      <w:r>
        <w:rPr>
          <w:b/>
          <w:color w:val="1A73E8"/>
          <w:sz w:val="17"/>
        </w:rPr>
        <w:t xml:space="preserve"> [See Appendix B.1] </w:t>
      </w:r>
      <w:r>
        <w:t>.</w:t>
      </w:r>
    </w:p>
    <w:p>
      <w:pPr>
        <w:spacing w:before="40" w:after="80" w:line="276" w:lineRule="auto"/>
      </w:pPr>
      <w:r>
        <w:rPr>
          <w:i/>
        </w:rPr>
        <w:t>Deep-Dive Mechanics.</w:t>
      </w:r>
      <w:r>
        <w:t xml:space="preserve"> This advantage is structurally durable rather than transient, because it depends on decades of accumulated imagery licensing agreements and a purpose-built geospatial processing engine, not a recent product investment that a competitor could replicate through a comparable capital outlay in the strategy's three-year window.</w:t>
      </w:r>
    </w:p>
    <w:p>
      <w:pPr>
        <w:spacing w:before="40" w:after="80" w:line="276" w:lineRule="auto"/>
      </w:pPr>
      <w:r>
        <w:rPr>
          <w:i/>
        </w:rPr>
        <w:t>Strategic Implication.</w:t>
      </w:r>
      <w:r>
        <w:t xml:space="preserve"> This is the single most defensible, non-time-limited technical advantage in the entire competitive matrix and should be positioned as a permanent structural differentiator rather than a "current lead," distinct from the Gemini Enterprise and Custom Silicon advantages above, which both carry meaningful competitive erosion risk over the strategy horizon.</w:t>
      </w:r>
    </w:p>
    <w:p>
      <w:pPr>
        <w:keepNext/>
        <w:spacing w:before="200" w:after="60"/>
      </w:pPr>
      <w:r>
        <w:rPr>
          <w:rFonts w:ascii="Arial" w:hAnsi="Arial"/>
          <w:b/>
          <w:color w:val="202124"/>
          <w:sz w:val="22"/>
        </w:rPr>
        <w:t>3.2 Where We Are at Parity or Behind , Honest Competitive Gaps</w:t>
      </w:r>
    </w:p>
    <w:p>
      <w:pPr>
        <w:spacing w:before="40" w:after="80" w:line="276" w:lineRule="auto"/>
      </w:pPr>
      <w:r>
        <w:t xml:space="preserve">A rigorous competitive assessment requires stating where Google Cloud does </w:t>
      </w:r>
      <w:r>
        <w:rPr>
          <w:b/>
        </w:rPr>
        <w:t>not</w:t>
      </w:r>
      <w:r>
        <w:t xml:space="preserve"> currently hold an advantage, since the sales force will encounter these gaps directly in competitive evaluations and needs a credible response rather than silence.</w:t>
      </w:r>
    </w:p>
    <w:tbl>
      <w:tblPr>
        <w:tblW w:type="auto" w:w="0"/>
        <w:jc w:val="center"/>
        <w:tblLayout w:type="fixed"/>
        <w:tblLook w:firstColumn="1" w:firstRow="1" w:lastColumn="0" w:lastRow="0" w:noHBand="0" w:noVBand="1" w:val="04A0"/>
      </w:tblPr>
      <w:tblGrid>
        <w:gridCol w:w="2484"/>
        <w:gridCol w:w="2484"/>
        <w:gridCol w:w="2484"/>
        <w:gridCol w:w="2484"/>
      </w:tblGrid>
      <w:tr>
        <w:trPr>
          <w:tblHeader/>
          <w:cantSplit/>
        </w:trPr>
        <w:tc>
          <w:tcPr>
            <w:tcW w:type="dxa" w:w="179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Competitive Dimension</w:t>
            </w:r>
          </w:p>
        </w:tc>
        <w:tc>
          <w:tcPr>
            <w:tcW w:type="dxa" w:w="276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Honest Assessment</w:t>
            </w:r>
          </w:p>
        </w:tc>
        <w:tc>
          <w:tcPr>
            <w:tcW w:type="dxa" w:w="276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Why It Matters</w:t>
            </w:r>
          </w:p>
        </w:tc>
        <w:tc>
          <w:tcPr>
            <w:tcW w:type="dxa" w:w="262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Recommended Field Response</w:t>
            </w:r>
          </w:p>
        </w:tc>
      </w:tr>
      <w:tr>
        <w:trPr>
          <w:cantSplit/>
        </w:trPr>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Breadth of managed services &amp; regional footprint</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 xml:space="preserve">AWS in particular offers a materially broader catalog of managed infrastructure services and a larger number of global regions/availability zones; this is a genuine, not merely perceived, gap </w:t>
            </w:r>
            <w:r>
              <w:rPr>
                <w:rFonts w:ascii="Consolas" w:hAnsi="Consolas"/>
                <w:color w:val="B81237"/>
                <w:sz w:val="14"/>
              </w:rPr>
              <w:t>[Data/Verification Required: current region/AZ count comparison across all three hyperscalers]</w:t>
            </w:r>
            <w:r>
              <w:rPr>
                <w:sz w:val="16"/>
              </w:rPr>
              <w:t>.</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Large multinational majors (TotalEnergies, BP, Shell) often require broad geographic infrastructure coverage for global operations spanning dozens of countries.</w:t>
            </w:r>
          </w:p>
        </w:tc>
        <w:tc>
          <w:tcPr>
            <w:tcW w:type="dxa" w:w="262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Do not contest this claim directly , instead pivot to the Multicloud Co-Existence Wedge (BigQuery Omni/BigLake), which reframes the conversation from "which cloud has more regions" to "which cloud can reason across whichever infrastructure you already have."</w:t>
            </w:r>
          </w:p>
        </w:tc>
      </w:tr>
      <w:tr>
        <w:trPr>
          <w:cantSplit/>
        </w:trPr>
        <w:tc>
          <w:tcPr>
            <w:tcW w:type="dxa" w:w="17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Enterprise software ecosystem lock-in (Microsoft stack)</w:t>
            </w:r>
          </w:p>
        </w:tc>
        <w:tc>
          <w:tcPr>
            <w:tcW w:type="dxa" w:w="276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Azure's integration with Office 365, Teams, Dynamics, and Active Directory creates default procurement and identity-management gravity inside operators with deep Microsoft enterprise agreements (e.g., Chevron, Equinor, Devon prior to displacement motion).</w:t>
            </w:r>
          </w:p>
        </w:tc>
        <w:tc>
          <w:tcPr>
            <w:tcW w:type="dxa" w:w="276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This is a genuine incumbency advantage, not merely a historical artifact , it is renewed every EA renewal cycle.</w:t>
            </w:r>
          </w:p>
        </w:tc>
        <w:tc>
          <w:tcPr>
            <w:tcW w:type="dxa" w:w="262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 with Workspace-native Gemini Enterprise integration for the specific personas (field engineers, geoscientists) where Google's UX advantage is real, without overstating displacement of core Microsoft 365 productivity infrastructure where it is entrenched.</w:t>
            </w:r>
          </w:p>
        </w:tc>
      </w:tr>
      <w:tr>
        <w:trPr>
          <w:cantSplit/>
        </w:trPr>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ISV marketplace depth and long-tail application catalog</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 xml:space="preserve">AWS Marketplace and Azure Marketplace currently list a larger volume of third-party O&amp;G-specific ISV applications than Google Cloud Marketplace </w:t>
            </w:r>
            <w:r>
              <w:rPr>
                <w:rFonts w:ascii="Consolas" w:hAnsi="Consolas"/>
                <w:color w:val="B81237"/>
                <w:sz w:val="14"/>
              </w:rPr>
              <w:t>[Data/Verification Required: comparative marketplace listing counts specific to the O&amp;G vertical]</w:t>
            </w:r>
            <w:r>
              <w:rPr>
                <w:sz w:val="16"/>
              </w:rPr>
              <w:t>.</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Buying committees performing marketplace due diligence may perceive a thinner GCP ecosystem, independent of the deeper strategic ISV partnerships (Cognite, SLB, Baker Hughes) described in Pillar 2.</w:t>
            </w:r>
          </w:p>
        </w:tc>
        <w:tc>
          <w:tcPr>
            <w:tcW w:type="dxa" w:w="262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Emphasize the depth and technical integration of the smaller number of strategic partnerships over the breadth of the marketplace catalog , this is a "fewer, deeper" argument, not a "more" argument.</w:t>
            </w:r>
          </w:p>
        </w:tc>
      </w:tr>
      <w:tr>
        <w:trPr>
          <w:cantSplit/>
        </w:trPr>
        <w:tc>
          <w:tcPr>
            <w:tcW w:type="dxa" w:w="17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Existing base install / reference customer count in oil &amp; gas specifically</w:t>
            </w:r>
          </w:p>
        </w:tc>
        <w:tc>
          <w:tcPr>
            <w:tcW w:type="dxa" w:w="276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At 10% share, Google Cloud has materially fewer O&amp;G reference customers to cite than AWS (37%) or Azure (32%) , this is a real credibility gap in RFP and analyst-briefing contexts.</w:t>
            </w:r>
          </w:p>
        </w:tc>
        <w:tc>
          <w:tcPr>
            <w:tcW w:type="dxa" w:w="276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Buying committees, particularly at Tier 2/3 majors, weight peer-reference validation heavily in vendor selection.</w:t>
            </w:r>
          </w:p>
        </w:tc>
        <w:tc>
          <w:tcPr>
            <w:tcW w:type="dxa" w:w="262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Use the account-specific technical proof points (TGS RTM benchmark, Reliance Jamnagar AI Region) as concentrated, verifiable evidence rather than attempting to compete on aggregate customer-count volume.</w:t>
            </w:r>
          </w:p>
        </w:tc>
      </w:tr>
    </w:tbl>
    <w:p>
      <w:pPr>
        <w:spacing w:before="40" w:after="120"/>
      </w:pPr>
    </w:p>
    <w:p>
      <w:pPr>
        <w:keepNext/>
        <w:spacing w:before="200" w:after="60"/>
      </w:pPr>
      <w:r>
        <w:rPr>
          <w:rFonts w:ascii="Arial" w:hAnsi="Arial"/>
          <w:b/>
          <w:color w:val="202124"/>
          <w:sz w:val="22"/>
        </w:rPr>
        <w:t>3.3 Critical Variables Governing the Overall Competitive Position</w:t>
      </w:r>
    </w:p>
    <w:p>
      <w:pPr>
        <w:pStyle w:val="ListBullet"/>
        <w:spacing w:before="20" w:after="40" w:line="276" w:lineRule="auto"/>
      </w:pPr>
      <w:r>
        <w:rPr>
          <w:b/>
        </w:rPr>
        <w:t>Rate of AWS/Azure catch-up on agentic governance and OT security</w:t>
      </w:r>
      <w:r>
        <w:t xml:space="preserve"> is the single largest variable capable of eroding the two most cited advantages (Gemini Enterprise governance, Mandiant OT security) within the three-year strategy horizon, and should be tracked via a standing quarterly competitive-refresh cadence tied to the Appendix B.1 matrix, not treated as fixed for the duration of the plan.</w:t>
      </w:r>
    </w:p>
    <w:p>
      <w:pPr>
        <w:pStyle w:val="ListBullet"/>
        <w:spacing w:before="20" w:after="40" w:line="276" w:lineRule="auto"/>
      </w:pPr>
      <w:r>
        <w:rPr>
          <w:b/>
        </w:rPr>
        <w:t>Customer technical due-diligence sophistication</w:t>
      </w:r>
      <w:r>
        <w:t xml:space="preserve"> varies sharply by account tier , Leaders (TotalEnergies, Shell, BP, Equinor per the maturity matrix in 1.6) will stress-test performance claims (RTM benchmark, TCO figures) far more rigorously than Early Adopter or Nascent accounts, meaning the same competitive claim requires different levels of substantiation depending on which tier it is deployed against.</w:t>
      </w:r>
    </w:p>
    <w:p>
      <w:pPr>
        <w:pStyle w:val="ListBullet"/>
        <w:spacing w:before="20" w:after="40" w:line="276" w:lineRule="auto"/>
      </w:pPr>
      <w:r>
        <w:rPr>
          <w:b/>
        </w:rPr>
        <w:t>Independent third-party validation gap</w:t>
      </w:r>
      <w:r>
        <w:t xml:space="preserve">: a material share of the quantitative claims in Appendix B.1–B.3 (the 50% TCO figure, the 35% RTM improvement) are presented without a cited independent benchmark source, unlike the market-sizing figures in Part I, which are attributed to named third-party research firms (IEA, Gartner, IDC). Closing this gap , commissioning or citing independent, reproducible technical benchmarks , should be treated as a near-term workstream, since sophisticated technical buyers will discount vendor-reported performance figures that lack independent substantiation </w:t>
      </w:r>
      <w:r>
        <w:rPr>
          <w:rFonts w:ascii="Consolas" w:hAnsi="Consolas"/>
          <w:color w:val="B81237"/>
          <w:sz w:val="18"/>
        </w:rPr>
        <w:t>[Data/Verification Required across Appendix B.1, B.2 quantitative claims]</w:t>
      </w:r>
      <w:r>
        <w:t>.</w:t>
      </w:r>
    </w:p>
    <w:p>
      <w:pPr>
        <w:keepNext/>
        <w:spacing w:before="200" w:after="60"/>
      </w:pPr>
      <w:r>
        <w:rPr>
          <w:rFonts w:ascii="Arial" w:hAnsi="Arial"/>
          <w:b/>
          <w:color w:val="202124"/>
          <w:sz w:val="22"/>
        </w:rPr>
        <w:t>3.4 Comparative Trade-Offs &amp; Strategic Implications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Positioning Approach</w:t>
            </w:r>
          </w:p>
        </w:tc>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When to Use</w:t>
            </w:r>
          </w:p>
        </w:tc>
        <w:tc>
          <w:tcPr>
            <w:tcW w:type="dxa" w:w="331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Risk</w:t>
            </w:r>
          </w:p>
        </w:tc>
      </w:tr>
      <w:tr>
        <w:trPr>
          <w:cantSplit/>
        </w:trPr>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Lead with structural/durable advantages</w:t>
            </w:r>
            <w:r>
              <w:rPr>
                <w:sz w:val="16"/>
              </w:rPr>
              <w:t xml:space="preserve"> (Earth Engine, Mandiant OT lineage, Energy Exchange)</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Any competitive evaluation, regardless of account tier or sophistication</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 , these advantages are not time-limited and withstand technical scrutiny</w:t>
            </w:r>
          </w:p>
        </w:tc>
      </w:tr>
      <w:tr>
        <w:trPr>
          <w:cantSplit/>
        </w:trPr>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Lead with current-state technical advantages</w:t>
            </w:r>
            <w:r>
              <w:rPr>
                <w:sz w:val="16"/>
              </w:rPr>
              <w:t xml:space="preserve"> (Gemini Enterprise governance, TPU economics)</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Time-sensitive competitive displacements (TGS win-back, active RFPs)</w:t>
            </w:r>
          </w:p>
        </w:tc>
        <w:tc>
          <w:tcPr>
            <w:tcW w:type="dxa" w:w="331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Moderate , requires the quarterly competitive-refresh discipline in 3.3 to avoid overclaiming as competitors close gaps</w:t>
            </w:r>
          </w:p>
        </w:tc>
      </w:tr>
      <w:tr>
        <w:trPr>
          <w:cantSplit/>
        </w:trPr>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Acknowledge and reframe genuine gaps</w:t>
            </w:r>
            <w:r>
              <w:rPr>
                <w:sz w:val="16"/>
              </w:rPr>
              <w:t xml:space="preserve"> (regional breadth, marketplace depth, reference base)</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Sophisticated Leader-tier accounts and formal RFP processes where silence on known gaps damages credibility more than a candid reframe</w:t>
            </w:r>
          </w:p>
        </w:tc>
        <w:tc>
          <w:tcPr>
            <w:tcW w:type="dxa" w:w="331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Low if handled proactively; high if the sales team is unprepared and gets caught flat-footed by a competitor's direct comparison</w:t>
            </w:r>
          </w:p>
        </w:tc>
      </w:tr>
    </w:tbl>
    <w:p>
      <w:pPr>
        <w:spacing w:before="40" w:after="120"/>
      </w:pPr>
    </w:p>
    <w:p>
      <w:pPr>
        <w:spacing w:before="80" w:after="80"/>
      </w:pPr>
    </w:p>
    <w:p>
      <w:pPr>
        <w:keepNext/>
        <w:spacing w:before="280" w:after="80"/>
        <w:pBdr>
          <w:bottom w:val="single" w:sz="6" w:space="3" w:color="DADCE0"/>
        </w:pBdr>
      </w:pPr>
      <w:r>
        <w:rPr>
          <w:rFonts w:ascii="Arial" w:hAnsi="Arial"/>
          <w:b/>
          <w:color w:val="174EA6"/>
          <w:sz w:val="26"/>
        </w:rPr>
        <w:t>Part IV: Execution Roadmap , 90 Days in Three Phases</w:t>
      </w:r>
    </w:p>
    <w:p>
      <w:pPr>
        <w:pStyle w:val="ListBullet"/>
        <w:spacing w:before="20" w:after="40" w:line="276" w:lineRule="auto"/>
      </w:pPr>
      <w:r>
        <w:rPr>
          <w:b/>
        </w:rPr>
        <w:t>Phase 1: Assess, Align &amp; Activate (Days 1–30)</w:t>
      </w:r>
      <w:r>
        <w:t xml:space="preserve">: Stand up Global O&amp;G Deal Council; open 15 executive discovery tracks; launch Gemini Enterprise &amp; Mandiant Security briefing series </w:t>
      </w:r>
      <w:r>
        <w:rPr>
          <w:b/>
          <w:color w:val="1A73E8"/>
          <w:sz w:val="17"/>
        </w:rPr>
        <w:t xml:space="preserve"> [See Appendix E.1 &amp; E.2] </w:t>
      </w:r>
      <w:r>
        <w:t>.</w:t>
      </w:r>
    </w:p>
    <w:p>
      <w:pPr>
        <w:pStyle w:val="ListBullet"/>
        <w:spacing w:before="20" w:after="40" w:line="276" w:lineRule="auto"/>
      </w:pPr>
      <w:r>
        <w:rPr>
          <w:b/>
        </w:rPr>
        <w:t>Phase 2: Validate Wedges &amp; Sovereignty (Days 31–60)</w:t>
      </w:r>
      <w:r>
        <w:t xml:space="preserve">: Execute 2 multicloud wedge validations; ratify NOC PoC scopes; initiate Interchange MOU drafts </w:t>
      </w:r>
      <w:r>
        <w:rPr>
          <w:b/>
          <w:color w:val="1A73E8"/>
          <w:sz w:val="17"/>
        </w:rPr>
        <w:t xml:space="preserve"> [See Appendix E.1 &amp; E.2] </w:t>
      </w:r>
      <w:r>
        <w:t>.</w:t>
      </w:r>
    </w:p>
    <w:p>
      <w:pPr>
        <w:pStyle w:val="ListBullet"/>
        <w:spacing w:before="20" w:after="40" w:line="276" w:lineRule="auto"/>
      </w:pPr>
      <w:r>
        <w:rPr>
          <w:b/>
        </w:rPr>
        <w:t>Phase 3: Scale, Accelerate &amp; Penetrate (Days 61–90)</w:t>
      </w:r>
      <w:r>
        <w:t xml:space="preserve">: Certify GSIs; publish 6 reference agent kits; announce Think Big initiatives at ADIPEC 2026 </w:t>
      </w:r>
      <w:r>
        <w:rPr>
          <w:b/>
          <w:color w:val="1A73E8"/>
          <w:sz w:val="17"/>
        </w:rPr>
        <w:t xml:space="preserve"> [See Appendix E.1 &amp; E.2] </w:t>
      </w:r>
      <w:r>
        <w:t>.</w:t>
      </w:r>
    </w:p>
    <w:p>
      <w:pPr>
        <w:spacing w:before="80" w:after="80"/>
      </w:pPr>
    </w:p>
    <w:p>
      <w:pPr>
        <w:keepNext/>
        <w:spacing w:before="280" w:after="80"/>
        <w:pBdr>
          <w:bottom w:val="single" w:sz="6" w:space="3" w:color="DADCE0"/>
        </w:pBdr>
      </w:pPr>
      <w:r>
        <w:rPr>
          <w:rFonts w:ascii="Arial" w:hAnsi="Arial"/>
          <w:b/>
          <w:color w:val="174EA6"/>
          <w:sz w:val="26"/>
        </w:rPr>
        <w:t>Part V: Strategic OKRs &amp; Executive Decisions</w:t>
      </w:r>
    </w:p>
    <w:p>
      <w:pPr>
        <w:spacing w:before="40" w:after="80" w:line="276" w:lineRule="auto"/>
      </w:pPr>
      <w:r>
        <w:t xml:space="preserve">Focus on establishing Google AI &amp; Gemini Enterprise leadership, proving multicloud wedges, securing sovereign/OT NOC workloads with Mandiant defense, and launching Think Big initiatives </w:t>
      </w:r>
      <w:r>
        <w:rPr>
          <w:b/>
          <w:color w:val="1A73E8"/>
          <w:sz w:val="17"/>
        </w:rPr>
        <w:t xml:space="preserve"> [See Appendix E.1] </w:t>
      </w:r>
      <w:r>
        <w:t>.</w:t>
      </w:r>
    </w:p>
    <w:p>
      <w:pPr>
        <w:spacing w:before="80" w:after="80"/>
      </w:pPr>
    </w:p>
    <w:p>
      <w:pPr>
        <w:keepNext/>
        <w:spacing w:before="320" w:after="120"/>
        <w:pBdr>
          <w:bottom w:val="single" w:sz="12" w:space="4" w:color="1A73E8"/>
        </w:pBdr>
      </w:pPr>
      <w:r>
        <w:rPr>
          <w:rFonts w:ascii="Arial" w:hAnsi="Arial"/>
          <w:b/>
          <w:color w:val="1A73E8"/>
          <w:sz w:val="36"/>
        </w:rPr>
        <w:t>APPENDIX: Supporting Data, Benchmarks &amp; Frameworks</w:t>
      </w:r>
    </w:p>
    <w:p>
      <w:pPr>
        <w:spacing w:before="80" w:after="80"/>
      </w:pPr>
    </w:p>
    <w:p>
      <w:pPr>
        <w:keepNext/>
        <w:spacing w:before="280" w:after="80"/>
        <w:pBdr>
          <w:bottom w:val="single" w:sz="6" w:space="3" w:color="DADCE0"/>
        </w:pBdr>
      </w:pPr>
      <w:r>
        <w:rPr>
          <w:rFonts w:ascii="Arial" w:hAnsi="Arial"/>
          <w:b/>
          <w:color w:val="174EA6"/>
          <w:sz w:val="26"/>
        </w:rPr>
        <w:t>Appendix A: Market Analysis &amp; Financial Projections</w:t>
      </w:r>
    </w:p>
    <w:p>
      <w:pPr>
        <w:keepNext/>
        <w:spacing w:before="200" w:after="60"/>
      </w:pPr>
      <w:r>
        <w:rPr>
          <w:rFonts w:ascii="Arial" w:hAnsi="Arial"/>
          <w:b/>
          <w:color w:val="202124"/>
          <w:sz w:val="22"/>
        </w:rPr>
        <w:t>A.1 Comprehensive 33-Account Portfolio Matrix</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174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Account Name</w:t>
            </w:r>
          </w:p>
        </w:tc>
        <w:tc>
          <w:tcPr>
            <w:tcW w:type="dxa" w:w="107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Account Tier</w:t>
            </w:r>
          </w:p>
        </w:tc>
        <w:tc>
          <w:tcPr>
            <w:tcW w:type="dxa" w:w="1208"/>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Incumbent Cloud</w:t>
            </w:r>
          </w:p>
        </w:tc>
        <w:tc>
          <w:tcPr>
            <w:tcW w:type="dxa" w:w="107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Google Posture</w:t>
            </w:r>
          </w:p>
        </w:tc>
        <w:tc>
          <w:tcPr>
            <w:tcW w:type="dxa" w:w="241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Entry Wedge Solution</w:t>
            </w:r>
          </w:p>
        </w:tc>
        <w:tc>
          <w:tcPr>
            <w:tcW w:type="dxa" w:w="241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Target Expansion Vector</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EQT / Expand Energy</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1A</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Production surveillance agents, power demand analytics</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Energy Exchange CEO dialogue</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Devon Energy</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1A</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Merger data &amp; process integration agents, common ontology</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Fervo clean-power synergy</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Diamondback Energy</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1A</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Agentic Subsurface Starter, D&amp;C optimization</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Full Permian asset fleet</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TGS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1A</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 (Win-Back)</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A3 Ultra GPU reservation, Parallelstore I/O engine</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Global multi-client seismic marketplace</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Harbour Energy</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1A</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M&amp;A integration agents, Wintershall Dea ontology merge</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Global asset fleet across 9 countries</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EOG Resources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1A</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Drilling automation agents, real-time completions AI</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Multi-basin production fleet</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ConocoPhillips</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1A</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BigQuery Omni federated analytics over Azure ADLS</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Global enterprise cloud footprint</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Aker BP</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1A</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agents over Cognite CDF on AWS</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Digital twin expansion via Cognite L1</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Quantum Capital Group</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1B</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Multi</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Portfolio-wide cloud commitment framework</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15+ PE portfolio companies</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EnCap Investments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1B</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Multi</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Portfolio-wide AI &amp; data platform enablement</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20+ PE portfolio companies</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Continental Resources</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1C</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Subsurface interpretation starter, D&amp;C optimization</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Anadarko &amp; Bakken asset fleet</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Mewbourne Oil</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1C</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Drilling risk agents, automated mud log RAG</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Permian basin operations</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Saudi Aramco</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CNTXT / Azure</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Sovereign Industrial Agent Platform (Dammam me-central2) + HUMAIN AI</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Enterprise-wide agentic rollout; HUMAIN AI GTM</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KOC / KPC</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GDC Air-Gapped OT/ICS SOC, Mandiant threat defense</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Sovereign Kuwait Cloud Region</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Pertamina</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GCP</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Digital Hub agents across 6 sub-holdings, Java green DC</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Geothermal green DC, sovereign APAC</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PTTEP</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GCP</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agents on existing Apigee/BigQuery/GKE estate</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Net Zero analytics, Bangkok region</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Inpex</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Sovereign LNG plant optimization, CCUS monitoring agents</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Japan sovereign AI (Tokyo/Osaka)</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QatarEnergy</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Doha regional AI inference, North Field LNG agents</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Enterprise LNG supply chain AI</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Petronas</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BigQuery Omni over Azure EDH, Gemini on AWS STEAR</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APAC logistics, LNG operations</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ADNOC</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 / G42</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Co-Exist</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GDC air-gapped OT/ICS, Mandiant security ops</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UAE sovereign posture parallel to G42</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ONGC</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2 (NOC)</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Mumbai offshore drilling agents, seismic HPC burst</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National E&amp;P data repository</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TotalEnergies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Multi</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agents on Cognite estate + Energy Exchange reciprocity</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Global upstream + new-energy portfolio</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Reliance Industries</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GCP</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Jamnagar AI Region, refinery optimization, safety agents</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Full O2C + new-energy portfolio</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ExxonMobil</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Wedge</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Doc intelligence, low-carbon ventures analytics (Day 90–180)</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Gulf Coast CCUS Hub platform</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Repsol</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Wedge</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over AWS OSDU, refinery catalyst optimization</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European Net Zero portfolio</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ENI</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Wedge</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over XWARE/OSDU on AWS, HPC burst to GCP</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 Data Center hybrid</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BP</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Multi</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Wedge</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Expand GCP analytics footprint, Gemini over Azure/AWS</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bpx energy AI, multicloud layer</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Petrobras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Wedge</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SLB Delfi on GCP, São Paulo sovereign data residency</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Deepwater seismic, reservoir modeling</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Woodside Energy</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Wedge</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LNG train optimization, Pluto LNG digital twin agents</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Australian offshore operations</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Hess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Wedge</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Guyana offshore production surveillance agents</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Deepwater FPSO fleet</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PEMEX</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Cantarell decline curve analytics, refinery safety AI</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Sovereign Mexico cloud footprint</w:t>
            </w:r>
          </w:p>
        </w:tc>
      </w:tr>
      <w:tr>
        <w:trPr>
          <w:cantSplit/>
        </w:trPr>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YPF</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3</w:t>
            </w:r>
          </w:p>
        </w:tc>
        <w:tc>
          <w:tcPr>
            <w:tcW w:type="dxa" w:w="1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Vaca Muerta shale completions AI, well log RAG</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Argentine unconventional fleet</w:t>
            </w:r>
          </w:p>
        </w:tc>
      </w:tr>
      <w:tr>
        <w:trPr>
          <w:cantSplit/>
        </w:trPr>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Williams Companies</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Tier 4</w:t>
            </w:r>
          </w:p>
        </w:tc>
        <w:tc>
          <w:tcPr>
            <w:tcW w:type="dxa" w:w="1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Wedge</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Expand Kognitwin (GCP) from power gen to pipeline ops</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Earth Engine ROW, Tapestry grid AI</w:t>
            </w:r>
          </w:p>
        </w:tc>
      </w:tr>
    </w:tbl>
    <w:p>
      <w:pPr>
        <w:spacing w:before="40" w:after="120"/>
      </w:pPr>
    </w:p>
    <w:p>
      <w:pPr>
        <w:spacing w:before="80" w:after="80"/>
      </w:pPr>
    </w:p>
    <w:p>
      <w:pPr>
        <w:keepNext/>
        <w:spacing w:before="200" w:after="60"/>
      </w:pPr>
      <w:r>
        <w:rPr>
          <w:rFonts w:ascii="Arial" w:hAnsi="Arial"/>
          <w:b/>
          <w:color w:val="202124"/>
          <w:sz w:val="22"/>
        </w:rPr>
        <w:t>A.2 5-Year Revenue Growth Trajectory Breakdown (2024–2028)</w:t>
      </w:r>
    </w:p>
    <w:tbl>
      <w:tblPr>
        <w:tblW w:type="auto" w:w="0"/>
        <w:jc w:val="center"/>
        <w:tblLayout w:type="fixed"/>
        <w:tblLook w:firstColumn="1" w:firstRow="1" w:lastColumn="0" w:lastRow="0" w:noHBand="0" w:noVBand="1" w:val="04A0"/>
      </w:tblPr>
      <w:tblGrid>
        <w:gridCol w:w="9936"/>
      </w:tblGrid>
      <w:tr>
        <w:tc>
          <w:tcPr>
            <w:tcW w:type="dxa" w:w="9936"/>
            <w:shd w:fill="F8F9FA"/>
            <w:tcMar>
              <w:top w:w="140" w:type="dxa"/>
              <w:bottom w:w="140" w:type="dxa"/>
              <w:left w:w="180" w:type="dxa"/>
              <w:right w:w="160" w:type="dxa"/>
            </w:tcMar>
            <w:tcBorders>
              <w:top w:val="single" w:sz="4" w:space="0" w:color="DADCE0"/>
              <w:bottom w:val="single" w:sz="4" w:space="0" w:color="DADCE0"/>
              <w:left w:val="single" w:sz="24" w:space="0" w:color="1A73E8"/>
              <w:right w:val="single" w:sz="4" w:space="0" w:color="DADCE0"/>
            </w:tcBorders>
          </w:tcPr>
          <w:p>
            <w:pPr>
              <w:spacing w:before="0" w:after="80"/>
            </w:pPr>
            <w:r>
              <w:rPr>
                <w:b/>
                <w:color w:val="1A73E8"/>
                <w:sz w:val="21"/>
              </w:rPr>
              <w:t>FIGURE A.2 — 5-Year Workload Revenue Trajectory ($M) &amp; Target Market Stack</w:t>
            </w:r>
          </w:p>
          <w:p>
            <w:pPr>
              <w:spacing w:before="40" w:after="40" w:line="276" w:lineRule="auto"/>
            </w:pPr>
            <w:r>
              <w:rPr>
                <w:b/>
                <w:sz w:val="19"/>
              </w:rPr>
              <w:t>Target Market Sizing (2028)</w:t>
            </w:r>
            <w:r>
              <w:rPr>
                <w:sz w:val="19"/>
              </w:rPr>
              <w:t>: Total Addressable Market (TAM) = $21.0B | Serviceable Addressable Market (SAM) = $9.5B | Serviceable Obtainable Market (SOM) = $3.2B</w:t>
            </w:r>
          </w:p>
          <w:p>
            <w:pPr>
              <w:spacing w:before="40" w:after="40" w:line="276" w:lineRule="auto"/>
            </w:pPr>
            <w:r>
              <w:rPr>
                <w:b/>
                <w:sz w:val="19"/>
              </w:rPr>
              <w:t>Workload ARR Progression</w:t>
            </w:r>
            <w:r>
              <w:rPr>
                <w:sz w:val="19"/>
              </w:rPr>
              <w:t>: 2024: $275M ➔ 2026: $755M ➔ 2028 Target: $1,960M ($1.96B, doubling vertical share to 20%)</w:t>
            </w:r>
          </w:p>
          <w:p>
            <w:pPr>
              <w:spacing w:before="40" w:after="40" w:line="276" w:lineRule="auto"/>
            </w:pPr>
            <w:r>
              <w:rPr>
                <w:b/>
                <w:sz w:val="19"/>
              </w:rPr>
              <w:t>Workload Distribution (2028 Target)</w:t>
            </w:r>
            <w:r>
              <w:rPr>
                <w:sz w:val="19"/>
              </w:rPr>
              <w:t>: AI/ML &amp; Gemini ($750M, 38%) · Data &amp; OSDU ($520M, 27%) · HPC Seismic ($280M, 14%) · Sovereign &amp; Security ($260M, 13%) · CCUS ($150M, 8%)</w:t>
            </w:r>
          </w:p>
        </w:tc>
      </w:tr>
    </w:tbl>
    <w:p>
      <w:pPr>
        <w:spacing w:before="0" w:after="80"/>
      </w:pP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rPr>
          <w:tblHeader/>
          <w:cantSplit/>
        </w:trPr>
        <w:tc>
          <w:tcPr>
            <w:tcW w:type="dxa" w:w="241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Workload Category</w:t>
            </w:r>
          </w:p>
        </w:tc>
        <w:tc>
          <w:tcPr>
            <w:tcW w:type="dxa" w:w="80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2024 ($M)</w:t>
            </w:r>
          </w:p>
        </w:tc>
        <w:tc>
          <w:tcPr>
            <w:tcW w:type="dxa" w:w="80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2025 ($M)</w:t>
            </w:r>
          </w:p>
        </w:tc>
        <w:tc>
          <w:tcPr>
            <w:tcW w:type="dxa" w:w="80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2026 ($M)</w:t>
            </w:r>
          </w:p>
        </w:tc>
        <w:tc>
          <w:tcPr>
            <w:tcW w:type="dxa" w:w="80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2027 ($M)</w:t>
            </w:r>
          </w:p>
        </w:tc>
        <w:tc>
          <w:tcPr>
            <w:tcW w:type="dxa" w:w="80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2028 ($M)</w:t>
            </w:r>
          </w:p>
        </w:tc>
        <w:tc>
          <w:tcPr>
            <w:tcW w:type="dxa" w:w="107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5-Yr CAGR (%)</w:t>
            </w:r>
          </w:p>
        </w:tc>
        <w:tc>
          <w:tcPr>
            <w:tcW w:type="dxa" w:w="241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Primary Growth Driver</w:t>
            </w:r>
          </w:p>
        </w:tc>
      </w:tr>
      <w:tr>
        <w:trPr>
          <w:cantSplit/>
        </w:trPr>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AI/ML &amp; Gemini Enterprise</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80</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140</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250</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450</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750</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75%</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Vertex AI Agent Builder, 6-Agent rollout, Workspace bundle</w:t>
            </w:r>
          </w:p>
        </w:tc>
      </w:tr>
      <w:tr>
        <w:trPr>
          <w:cantSplit/>
        </w:trPr>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Subsurface HPC Supercomputing</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40</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65</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110</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180</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280</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63%</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A3 Ultra GPU clusters, Parallelstore DAOS I/O, Slurm bursting</w:t>
            </w:r>
          </w:p>
        </w:tc>
      </w:tr>
      <w:tr>
        <w:trPr>
          <w:cantSplit/>
        </w:trPr>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Data Platform &amp; OSDU</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120</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180</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260</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380</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520</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44%</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BigQuery Omni, BigLake federated querying, OSDU v1.0 engine</w:t>
            </w:r>
          </w:p>
        </w:tc>
      </w:tr>
      <w:tr>
        <w:trPr>
          <w:cantSplit/>
        </w:trPr>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Sovereign Cloud &amp; Security</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30</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55</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95</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160</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260</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71%</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Dammam me-central2, GDC Air-Gapped, Mandiant OT threat defense</w:t>
            </w:r>
          </w:p>
        </w:tc>
      </w:tr>
      <w:tr>
        <w:trPr>
          <w:cantSplit/>
        </w:trPr>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CCUS Transformation Platforms</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5</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15</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40</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80</w:t>
            </w:r>
          </w:p>
        </w:tc>
        <w:tc>
          <w:tcPr>
            <w:tcW w:type="dxa" w:w="80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150</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134%</w:t>
            </w:r>
          </w:p>
        </w:tc>
        <w:tc>
          <w:tcPr>
            <w:tcW w:type="dxa" w:w="241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ExxonMobil LCS, East Coast Cluster, Project Greensand</w:t>
            </w:r>
          </w:p>
        </w:tc>
      </w:tr>
      <w:tr>
        <w:trPr>
          <w:cantSplit/>
        </w:trPr>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Total Annual Recurring Revenue</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275</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455</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755</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1,250</w:t>
            </w:r>
          </w:p>
        </w:tc>
        <w:tc>
          <w:tcPr>
            <w:tcW w:type="dxa" w:w="80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1,960</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63%</w:t>
            </w:r>
          </w:p>
        </w:tc>
        <w:tc>
          <w:tcPr>
            <w:tcW w:type="dxa" w:w="241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Goal: Double GCP O&amp;G market share from 10% to 20%</w:t>
            </w:r>
          </w:p>
        </w:tc>
      </w:tr>
    </w:tbl>
    <w:p>
      <w:pPr>
        <w:spacing w:before="40" w:after="120"/>
      </w:pPr>
    </w:p>
    <w:p>
      <w:pPr>
        <w:spacing w:before="80" w:after="80"/>
      </w:pPr>
    </w:p>
    <w:p>
      <w:pPr>
        <w:keepNext/>
        <w:spacing w:before="200" w:after="60"/>
      </w:pPr>
      <w:r>
        <w:rPr>
          <w:rFonts w:ascii="Arial" w:hAnsi="Arial"/>
          <w:b/>
          <w:color w:val="202124"/>
          <w:sz w:val="22"/>
        </w:rPr>
        <w:t>A.3 Digital Maturity &amp; Cloud Readiness Scoring Matrix</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147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Operator Category</w:t>
            </w:r>
          </w:p>
        </w:tc>
        <w:tc>
          <w:tcPr>
            <w:tcW w:type="dxa" w:w="107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Score Range</w:t>
            </w:r>
          </w:p>
        </w:tc>
        <w:tc>
          <w:tcPr>
            <w:tcW w:type="dxa" w:w="188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Representative Named Accounts</w:t>
            </w:r>
          </w:p>
        </w:tc>
        <w:tc>
          <w:tcPr>
            <w:tcW w:type="dxa" w:w="147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Dominant Legacy Platform</w:t>
            </w:r>
          </w:p>
        </w:tc>
        <w:tc>
          <w:tcPr>
            <w:tcW w:type="dxa" w:w="174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Primary Cloud Strategy</w:t>
            </w:r>
          </w:p>
        </w:tc>
        <w:tc>
          <w:tcPr>
            <w:tcW w:type="dxa" w:w="2283"/>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Recommended Google Wedge Motion</w:t>
            </w:r>
          </w:p>
        </w:tc>
      </w:tr>
      <w:tr>
        <w:trPr>
          <w:cantSplit/>
        </w:trPr>
        <w:tc>
          <w:tcPr>
            <w:tcW w:type="dxa" w:w="147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Leaders</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85–92</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TotalEnergies, Shell, BP, Equinor</w:t>
            </w:r>
          </w:p>
        </w:tc>
        <w:tc>
          <w:tcPr>
            <w:tcW w:type="dxa" w:w="147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 / Azure EDH</w:t>
            </w:r>
          </w:p>
        </w:tc>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Multicloud enterprise integration</w:t>
            </w:r>
          </w:p>
        </w:tc>
        <w:tc>
          <w:tcPr>
            <w:tcW w:type="dxa" w:w="228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BigQuery Omni federated query, Gemini over existing estate</w:t>
            </w:r>
          </w:p>
        </w:tc>
      </w:tr>
      <w:tr>
        <w:trPr>
          <w:cantSplit/>
        </w:trPr>
        <w:tc>
          <w:tcPr>
            <w:tcW w:type="dxa" w:w="147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Fast Followers</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65–78</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Saudi Aramco, ExxonMobil, Pertamina, Devon, EQT, Reliance</w:t>
            </w:r>
          </w:p>
        </w:tc>
        <w:tc>
          <w:tcPr>
            <w:tcW w:type="dxa" w:w="147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SAP, PI Historian, Custom DBs</w:t>
            </w:r>
          </w:p>
        </w:tc>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Accelerated cloud migration &amp; AI</w:t>
            </w:r>
          </w:p>
        </w:tc>
        <w:tc>
          <w:tcPr>
            <w:tcW w:type="dxa" w:w="228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Sovereign cloud regions (Dammam/Jakarta), Energy Exchange</w:t>
            </w:r>
          </w:p>
        </w:tc>
      </w:tr>
      <w:tr>
        <w:trPr>
          <w:cantSplit/>
        </w:trPr>
        <w:tc>
          <w:tcPr>
            <w:tcW w:type="dxa" w:w="147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Early Adopters</w:t>
            </w:r>
          </w:p>
        </w:tc>
        <w:tc>
          <w:tcPr>
            <w:tcW w:type="dxa" w:w="10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45–55</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KOC/KPC, QatarEnergy, Diamondback, ONGC, PEMEX</w:t>
            </w:r>
          </w:p>
        </w:tc>
        <w:tc>
          <w:tcPr>
            <w:tcW w:type="dxa" w:w="147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On-prem SCADA, Paper logs</w:t>
            </w:r>
          </w:p>
        </w:tc>
        <w:tc>
          <w:tcPr>
            <w:tcW w:type="dxa" w:w="17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Selective cloud PoCs</w:t>
            </w:r>
          </w:p>
        </w:tc>
        <w:tc>
          <w:tcPr>
            <w:tcW w:type="dxa" w:w="228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Greenfield Agentic Subsurface Starters, GDC Air-Gapped OT</w:t>
            </w:r>
          </w:p>
        </w:tc>
      </w:tr>
      <w:tr>
        <w:trPr>
          <w:cantSplit/>
        </w:trPr>
        <w:tc>
          <w:tcPr>
            <w:tcW w:type="dxa" w:w="147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Nascent</w:t>
            </w:r>
          </w:p>
        </w:tc>
        <w:tc>
          <w:tcPr>
            <w:tcW w:type="dxa" w:w="10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30–35</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Continental Resources, YPF, Mewbourne Oil</w:t>
            </w:r>
          </w:p>
        </w:tc>
        <w:tc>
          <w:tcPr>
            <w:tcW w:type="dxa" w:w="147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On-prem servers, Excel</w:t>
            </w:r>
          </w:p>
        </w:tc>
        <w:tc>
          <w:tcPr>
            <w:tcW w:type="dxa" w:w="17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Early infrastructure modernization</w:t>
            </w:r>
          </w:p>
        </w:tc>
        <w:tc>
          <w:tcPr>
            <w:tcW w:type="dxa" w:w="228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Managed OSDU on GCP, low-code Vertex AI search</w:t>
            </w:r>
          </w:p>
        </w:tc>
      </w:tr>
    </w:tbl>
    <w:p>
      <w:pPr>
        <w:spacing w:before="40" w:after="120"/>
      </w:pPr>
    </w:p>
    <w:p>
      <w:pPr>
        <w:spacing w:before="80" w:after="80"/>
      </w:pPr>
    </w:p>
    <w:p>
      <w:pPr>
        <w:keepNext/>
        <w:spacing w:before="280" w:after="80"/>
        <w:pBdr>
          <w:bottom w:val="single" w:sz="6" w:space="3" w:color="DADCE0"/>
        </w:pBdr>
      </w:pPr>
      <w:r>
        <w:rPr>
          <w:rFonts w:ascii="Arial" w:hAnsi="Arial"/>
          <w:b/>
          <w:color w:val="174EA6"/>
          <w:sz w:val="26"/>
        </w:rPr>
        <w:t>Appendix B: Technology &amp; Competitive Benchmarks</w:t>
      </w:r>
    </w:p>
    <w:p>
      <w:pPr>
        <w:keepNext/>
        <w:spacing w:before="200" w:after="60"/>
      </w:pPr>
      <w:r>
        <w:rPr>
          <w:rFonts w:ascii="Arial" w:hAnsi="Arial"/>
          <w:b/>
          <w:color w:val="202124"/>
          <w:sz w:val="22"/>
        </w:rPr>
        <w:t>B.1 Hyperscaler Head-to-Head Capability Comparison Matrix</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cantSplit/>
        </w:trPr>
        <w:tc>
          <w:tcPr>
            <w:tcW w:type="dxa" w:w="165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Evaluation Dimension</w:t>
            </w:r>
          </w:p>
        </w:tc>
        <w:tc>
          <w:tcPr>
            <w:tcW w:type="dxa" w:w="2208"/>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Google Cloud (GCP)</w:t>
            </w:r>
          </w:p>
        </w:tc>
        <w:tc>
          <w:tcPr>
            <w:tcW w:type="dxa" w:w="179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Amazon Web Services (AWS)</w:t>
            </w:r>
          </w:p>
        </w:tc>
        <w:tc>
          <w:tcPr>
            <w:tcW w:type="dxa" w:w="179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Microsoft Azure</w:t>
            </w:r>
          </w:p>
        </w:tc>
        <w:tc>
          <w:tcPr>
            <w:tcW w:type="dxa" w:w="248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Hyperscaler Winner &amp; Differentiating Proof Point</w:t>
            </w:r>
          </w:p>
        </w:tc>
      </w:tr>
      <w:tr>
        <w:trPr>
          <w:cantSplit/>
        </w:trPr>
        <w:tc>
          <w:tcPr>
            <w:tcW w:type="dxa" w:w="165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Enterprise AI Platform</w:t>
            </w:r>
          </w:p>
        </w:tc>
        <w:tc>
          <w:tcPr>
            <w:tcW w:type="dxa" w:w="2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Google AI &amp; Gemini Enterprise (Vertex Agent Builder + 2M context + Model Garden + Workspace)</w:t>
            </w:r>
          </w:p>
        </w:tc>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Bedrock (Fragmented models; limited native agent governance)</w:t>
            </w:r>
          </w:p>
        </w:tc>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 OpenAI (Copilot assistant mode; complex multi-tool wiring)</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Google Cloud</w:t>
            </w:r>
            <w:r>
              <w:rPr>
                <w:sz w:val="16"/>
              </w:rPr>
              <w:t>: Complete end-to-end industrial agentic platform with native Workspace integration</w:t>
            </w:r>
          </w:p>
        </w:tc>
      </w:tr>
      <w:tr>
        <w:trPr>
          <w:cantSplit/>
        </w:trPr>
        <w:tc>
          <w:tcPr>
            <w:tcW w:type="dxa" w:w="165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OT/ICS Critical Security</w:t>
            </w:r>
          </w:p>
        </w:tc>
        <w:tc>
          <w:tcPr>
            <w:tcW w:type="dxa" w:w="2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Mandiant Threat Intel + Chronicle SIEM/SOAR + Wiz CSPM for OT/SCADA</w:t>
            </w:r>
          </w:p>
        </w:tc>
        <w:tc>
          <w:tcPr>
            <w:tcW w:type="dxa" w:w="17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GuardDuty &amp; Security Hub (Basic cloud security; minimal OT intel)</w:t>
            </w:r>
          </w:p>
        </w:tc>
        <w:tc>
          <w:tcPr>
            <w:tcW w:type="dxa" w:w="17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Sentinel &amp; Defender for IoT (Good IT security; fragmented OT integration)</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Google Cloud</w:t>
            </w:r>
            <w:r>
              <w:rPr>
                <w:sz w:val="16"/>
              </w:rPr>
              <w:t>: Frontline Mandiant OT threat intelligence &amp; zero-trust SCADA defense</w:t>
            </w:r>
          </w:p>
        </w:tc>
      </w:tr>
      <w:tr>
        <w:trPr>
          <w:cantSplit/>
        </w:trPr>
        <w:tc>
          <w:tcPr>
            <w:tcW w:type="dxa" w:w="165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Custom AI Silicon TCO</w:t>
            </w:r>
          </w:p>
        </w:tc>
        <w:tc>
          <w:tcPr>
            <w:tcW w:type="dxa" w:w="2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Trillium v6e &amp; TPU v5p (Up to 50% TCO savings for inference)</w:t>
            </w:r>
          </w:p>
        </w:tc>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Inferentia / Trainium (Limited O&amp;G framework support)</w:t>
            </w:r>
          </w:p>
        </w:tc>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GPU-only (High cost; strict regional quota constraints)</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Google Cloud</w:t>
            </w:r>
            <w:r>
              <w:rPr>
                <w:sz w:val="16"/>
              </w:rPr>
              <w:t>: Custom TPU price-performance economics for domain model pre-training</w:t>
            </w:r>
          </w:p>
        </w:tc>
      </w:tr>
      <w:tr>
        <w:trPr>
          <w:cantSplit/>
        </w:trPr>
        <w:tc>
          <w:tcPr>
            <w:tcW w:type="dxa" w:w="165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Multicloud Data Analytics</w:t>
            </w:r>
          </w:p>
        </w:tc>
        <w:tc>
          <w:tcPr>
            <w:tcW w:type="dxa" w:w="2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BigQuery Omni &amp; BigLake (In-place query over S3/ADLS without egress)</w:t>
            </w:r>
          </w:p>
        </w:tc>
        <w:tc>
          <w:tcPr>
            <w:tcW w:type="dxa" w:w="17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Redshift Spectrum (Requires data staging and ETL pipelines)</w:t>
            </w:r>
          </w:p>
        </w:tc>
        <w:tc>
          <w:tcPr>
            <w:tcW w:type="dxa" w:w="17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Synapse Link (Constrained multi-cloud federation capabilities)</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Google Cloud</w:t>
            </w:r>
            <w:r>
              <w:rPr>
                <w:sz w:val="16"/>
              </w:rPr>
              <w:t>: Zero-migration, zero-egress federated query over incumbent data estates</w:t>
            </w:r>
          </w:p>
        </w:tc>
      </w:tr>
      <w:tr>
        <w:trPr>
          <w:cantSplit/>
        </w:trPr>
        <w:tc>
          <w:tcPr>
            <w:tcW w:type="dxa" w:w="165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Geospatial &amp; Satellite AI</w:t>
            </w:r>
          </w:p>
        </w:tc>
        <w:tc>
          <w:tcPr>
            <w:tcW w:type="dxa" w:w="2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Google Earth Engine (40+ yr catalog, native ML, MethaneSAT)</w:t>
            </w:r>
          </w:p>
        </w:tc>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Ground Station + SageMaker (Requires custom assembly)</w:t>
            </w:r>
          </w:p>
        </w:tc>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 Orbital Analytics (Limited native energy ML catalog)</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Google Cloud</w:t>
            </w:r>
            <w:r>
              <w:rPr>
                <w:sz w:val="16"/>
              </w:rPr>
              <w:t>: Unmatched satellite data depth powering UNEP IMEO &amp; EDF MethaneSAT</w:t>
            </w:r>
          </w:p>
        </w:tc>
      </w:tr>
      <w:tr>
        <w:trPr>
          <w:cantSplit/>
        </w:trPr>
        <w:tc>
          <w:tcPr>
            <w:tcW w:type="dxa" w:w="165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Sovereign Cloud &amp; Air-Gap</w:t>
            </w:r>
          </w:p>
        </w:tc>
        <w:tc>
          <w:tcPr>
            <w:tcW w:type="dxa" w:w="22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Sovereign Trio (Dammam, Doha, Jakarta, Bangkok, Tokyo, GDC Air-Gap)</w:t>
            </w:r>
          </w:p>
        </w:tc>
        <w:tc>
          <w:tcPr>
            <w:tcW w:type="dxa" w:w="17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 Outposts (Hardware locked to AWS public control plane)</w:t>
            </w:r>
          </w:p>
        </w:tc>
        <w:tc>
          <w:tcPr>
            <w:tcW w:type="dxa" w:w="17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 Stack (Complex multi-region governance model)</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Google Cloud</w:t>
            </w:r>
            <w:r>
              <w:rPr>
                <w:sz w:val="16"/>
              </w:rPr>
              <w:t>: Unified sovereign NOC framework spanning 6 deployment options</w:t>
            </w:r>
          </w:p>
        </w:tc>
      </w:tr>
      <w:tr>
        <w:trPr>
          <w:cantSplit/>
        </w:trPr>
        <w:tc>
          <w:tcPr>
            <w:tcW w:type="dxa" w:w="165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Domain Foundation Models</w:t>
            </w:r>
          </w:p>
        </w:tc>
        <w:tc>
          <w:tcPr>
            <w:tcW w:type="dxa" w:w="22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GCP-hosted domain FMs (Timeseries + Subsurface) with ISV coalition</w:t>
            </w:r>
          </w:p>
        </w:tc>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Generic SageMaker JumpStart models</w:t>
            </w:r>
          </w:p>
        </w:tc>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Generic Azure AI Studio model catalog</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Google Cloud</w:t>
            </w:r>
            <w:r>
              <w:rPr>
                <w:sz w:val="16"/>
              </w:rPr>
              <w:t>: Only hyperscaler co-developing domain FMs with TGS/SLB/Baker Hughes</w:t>
            </w:r>
          </w:p>
        </w:tc>
      </w:tr>
    </w:tbl>
    <w:p>
      <w:pPr>
        <w:spacing w:before="40" w:after="120"/>
      </w:pPr>
    </w:p>
    <w:p>
      <w:pPr>
        <w:spacing w:before="80" w:after="80"/>
      </w:pPr>
    </w:p>
    <w:p>
      <w:pPr>
        <w:keepNext/>
        <w:spacing w:before="200" w:after="60"/>
      </w:pPr>
      <w:r>
        <w:rPr>
          <w:rFonts w:ascii="Arial" w:hAnsi="Arial"/>
          <w:b/>
          <w:color w:val="202124"/>
          <w:sz w:val="22"/>
        </w:rPr>
        <w:t>B.2 Subsurface HPC Compute &amp; Storage I/O Benchmarks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cantSplit/>
        </w:trPr>
        <w:tc>
          <w:tcPr>
            <w:tcW w:type="dxa" w:w="188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Performance Metric</w:t>
            </w:r>
          </w:p>
        </w:tc>
        <w:tc>
          <w:tcPr>
            <w:tcW w:type="dxa" w:w="2148"/>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Google Cloud HPC Stack</w:t>
            </w:r>
          </w:p>
        </w:tc>
        <w:tc>
          <w:tcPr>
            <w:tcW w:type="dxa" w:w="188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AWS Competitive Baseline</w:t>
            </w:r>
          </w:p>
        </w:tc>
        <w:tc>
          <w:tcPr>
            <w:tcW w:type="dxa" w:w="188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Azure Competitive Baseline</w:t>
            </w:r>
          </w:p>
        </w:tc>
        <w:tc>
          <w:tcPr>
            <w:tcW w:type="dxa" w:w="2148"/>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Performance Impact for Upstream Operators</w:t>
            </w:r>
          </w:p>
        </w:tc>
      </w:tr>
      <w:tr>
        <w:trPr>
          <w:cantSplit/>
        </w:trPr>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Primary Compute Stack</w:t>
            </w:r>
          </w:p>
        </w:tc>
        <w:tc>
          <w:tcPr>
            <w:tcW w:type="dxa" w:w="214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A3 Ultra (NVIDIA H200/B200) + TPU v5p/v6e Clusters</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EC2 P5 (NVIDIA H100) UltraClusters</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NDv5-series (NVIDIA H100) VMs</w:t>
            </w:r>
          </w:p>
        </w:tc>
        <w:tc>
          <w:tcPr>
            <w:tcW w:type="dxa" w:w="214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3.2 Tbps GPUDirect RDMA inter-node interconnect</w:t>
            </w:r>
          </w:p>
        </w:tc>
      </w:tr>
      <w:tr>
        <w:trPr>
          <w:cantSplit/>
        </w:trPr>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Storage Filesystem Latency</w:t>
            </w:r>
          </w:p>
        </w:tc>
        <w:tc>
          <w:tcPr>
            <w:tcW w:type="dxa" w:w="214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Parallelstore (DAOS-based) &lt; 0.8 ms IOPS</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FSx for Lustre (1.5 – 3.0 ms latency)</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 NetApp Files / PixStore (2.0+ ms)</w:t>
            </w:r>
          </w:p>
        </w:tc>
        <w:tc>
          <w:tcPr>
            <w:tcW w:type="dxa" w:w="214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Eliminates storage bottlenecks during petabyte seismic runs</w:t>
            </w:r>
          </w:p>
        </w:tc>
      </w:tr>
      <w:tr>
        <w:trPr>
          <w:cantSplit/>
        </w:trPr>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Seismic RTM Wall-Clock Time</w:t>
            </w:r>
          </w:p>
        </w:tc>
        <w:tc>
          <w:tcPr>
            <w:tcW w:type="dxa" w:w="214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Baseline (1.0× time)</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1.35× longer execution time</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1.40× longer execution time</w:t>
            </w:r>
          </w:p>
        </w:tc>
        <w:tc>
          <w:tcPr>
            <w:tcW w:type="dxa" w:w="214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35% faster Reverse Time Migration iteration cycles</w:t>
            </w:r>
          </w:p>
        </w:tc>
      </w:tr>
      <w:tr>
        <w:trPr>
          <w:cantSplit/>
        </w:trPr>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Hybrid Cloud Burst Scaling</w:t>
            </w:r>
          </w:p>
        </w:tc>
        <w:tc>
          <w:tcPr>
            <w:tcW w:type="dxa" w:w="214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10,000+ core instant Slurm burst via GCP HPC Toolkit</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AWS ParallelCluster Slurm integration</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Azure CycleCloud HPC manager</w:t>
            </w:r>
          </w:p>
        </w:tc>
        <w:tc>
          <w:tcPr>
            <w:tcW w:type="dxa" w:w="214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Zero idle infrastructure cost for legacy supercomputers</w:t>
            </w:r>
          </w:p>
        </w:tc>
      </w:tr>
    </w:tbl>
    <w:p>
      <w:pPr>
        <w:spacing w:before="40" w:after="120"/>
      </w:pPr>
    </w:p>
    <w:p>
      <w:pPr>
        <w:spacing w:before="80" w:after="80"/>
      </w:pPr>
    </w:p>
    <w:p>
      <w:pPr>
        <w:keepNext/>
        <w:spacing w:before="200" w:after="60"/>
      </w:pPr>
      <w:r>
        <w:rPr>
          <w:rFonts w:ascii="Arial" w:hAnsi="Arial"/>
          <w:b/>
          <w:color w:val="202124"/>
          <w:sz w:val="22"/>
        </w:rPr>
        <w:t>B.3 The 6-Agent Reference Architecture Specifications</w:t>
      </w:r>
    </w:p>
    <w:tbl>
      <w:tblPr>
        <w:tblW w:type="auto" w:w="0"/>
        <w:jc w:val="center"/>
        <w:tblLayout w:type="fixed"/>
        <w:tblLook w:firstColumn="1" w:firstRow="1" w:lastColumn="0" w:lastRow="0" w:noHBand="0" w:noVBand="1" w:val="04A0"/>
      </w:tblPr>
      <w:tblGrid>
        <w:gridCol w:w="9936"/>
      </w:tblGrid>
      <w:tr>
        <w:tc>
          <w:tcPr>
            <w:tcW w:type="dxa" w:w="9936"/>
            <w:shd w:fill="F8F9FA"/>
            <w:tcMar>
              <w:top w:w="140" w:type="dxa"/>
              <w:bottom w:w="140" w:type="dxa"/>
              <w:left w:w="180" w:type="dxa"/>
              <w:right w:w="160" w:type="dxa"/>
            </w:tcMar>
            <w:tcBorders>
              <w:top w:val="single" w:sz="4" w:space="0" w:color="DADCE0"/>
              <w:bottom w:val="single" w:sz="4" w:space="0" w:color="DADCE0"/>
              <w:left w:val="single" w:sz="24" w:space="0" w:color="1A73E8"/>
              <w:right w:val="single" w:sz="4" w:space="0" w:color="DADCE0"/>
            </w:tcBorders>
          </w:tcPr>
          <w:p>
            <w:pPr>
              <w:spacing w:before="0" w:after="80"/>
            </w:pPr>
            <w:r>
              <w:rPr>
                <w:b/>
                <w:color w:val="1A73E8"/>
                <w:sz w:val="21"/>
              </w:rPr>
              <w:t>FIGURE B.3 — End-to-End Governed Agentic Execution Pipeline</w:t>
            </w:r>
          </w:p>
          <w:p>
            <w:pPr>
              <w:spacing w:before="40" w:after="40" w:line="276" w:lineRule="auto"/>
            </w:pPr>
            <w:r>
              <w:rPr>
                <w:b/>
                <w:sz w:val="19"/>
              </w:rPr>
              <w:t>1. Ingestion</w:t>
            </w:r>
            <w:r>
              <w:rPr>
                <w:sz w:val="19"/>
              </w:rPr>
              <w:t>: OSDU Platform · SCADA Historians · LAS/DLIS Well Logs · Seismic 3D Volumes · P&amp;ID Schematics</w:t>
            </w:r>
          </w:p>
          <w:p>
            <w:pPr>
              <w:spacing w:before="40" w:after="40" w:line="276" w:lineRule="auto"/>
            </w:pPr>
            <w:r>
              <w:rPr>
                <w:b/>
                <w:sz w:val="19"/>
              </w:rPr>
              <w:t>2. Gemini Reasoning</w:t>
            </w:r>
            <w:r>
              <w:rPr>
                <w:sz w:val="19"/>
              </w:rPr>
              <w:t>: 2M Token Context RAG · Subsurface &amp; Timeseries FMs · Vertex Agent Builder · Anomaly Pattern Recognition</w:t>
            </w:r>
          </w:p>
          <w:p>
            <w:pPr>
              <w:spacing w:before="40" w:after="40" w:line="276" w:lineRule="auto"/>
            </w:pPr>
            <w:r>
              <w:rPr>
                <w:b/>
                <w:sz w:val="19"/>
              </w:rPr>
              <w:t>3. Governance Gate</w:t>
            </w:r>
            <w:r>
              <w:rPr>
                <w:sz w:val="19"/>
              </w:rPr>
              <w:t>: Human-in-the-Loop Sign-off · Geoscientist/HSE Gate · Deterministic Kill Switch · Complete Audit Trail Logging</w:t>
            </w:r>
          </w:p>
          <w:p>
            <w:pPr>
              <w:spacing w:before="40" w:after="40" w:line="276" w:lineRule="auto"/>
            </w:pPr>
            <w:r>
              <w:rPr>
                <w:b/>
                <w:sz w:val="19"/>
              </w:rPr>
              <w:t>4. Action Output</w:t>
            </w:r>
            <w:r>
              <w:rPr>
                <w:sz w:val="19"/>
              </w:rPr>
              <w:t>: Automated SAP Work Orders · SCADA Control Setpoints · Auto Petrel Surface Write · Emergency Rig Console Alerts</w:t>
            </w:r>
          </w:p>
        </w:tc>
      </w:tr>
    </w:tbl>
    <w:p>
      <w:pPr>
        <w:spacing w:before="0" w:after="80"/>
      </w:pP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cantSplit/>
        </w:trPr>
        <w:tc>
          <w:tcPr>
            <w:tcW w:type="dxa" w:w="188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Reference Agent Pattern</w:t>
            </w:r>
          </w:p>
        </w:tc>
        <w:tc>
          <w:tcPr>
            <w:tcW w:type="dxa" w:w="188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Ingestion Data Feeds</w:t>
            </w:r>
          </w:p>
        </w:tc>
        <w:tc>
          <w:tcPr>
            <w:tcW w:type="dxa" w:w="2148"/>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Gemini Reasoning &amp; Model Architecture</w:t>
            </w:r>
          </w:p>
        </w:tc>
        <w:tc>
          <w:tcPr>
            <w:tcW w:type="dxa" w:w="188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Human Approval &amp; Governance Gate</w:t>
            </w:r>
          </w:p>
        </w:tc>
        <w:tc>
          <w:tcPr>
            <w:tcW w:type="dxa" w:w="2148"/>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Automated Downstream Action</w:t>
            </w:r>
          </w:p>
        </w:tc>
      </w:tr>
      <w:tr>
        <w:trPr>
          <w:cantSplit/>
        </w:trPr>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 Subsurface Interpretation Agent</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2D/3D Seismic, Borehole Images, LAS/DLIS well logs, Petrel projects</w:t>
            </w:r>
          </w:p>
        </w:tc>
        <w:tc>
          <w:tcPr>
            <w:tcW w:type="dxa" w:w="214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3.5 Pro (2M token context), Multimodal Vision RAG over OSDU</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Principal Geoscientist sign-off on fault/horizon boundary picks</w:t>
            </w:r>
          </w:p>
        </w:tc>
        <w:tc>
          <w:tcPr>
            <w:tcW w:type="dxa" w:w="214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Auto-populates OSDU horizon surfaces &amp; Petrel project files</w:t>
            </w:r>
          </w:p>
        </w:tc>
      </w:tr>
      <w:tr>
        <w:trPr>
          <w:cantSplit/>
        </w:trPr>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2. Well Log Correlation Agent</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Multi-well LAS files, Mud logs, Core analysis, Formation tops</w:t>
            </w:r>
          </w:p>
        </w:tc>
        <w:tc>
          <w:tcPr>
            <w:tcW w:type="dxa" w:w="214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3.5 Pro zero-shot sequence alignment &amp; stratigraphic RAG</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Lead Geologist validation of marker tops across basin</w:t>
            </w:r>
          </w:p>
        </w:tc>
        <w:tc>
          <w:tcPr>
            <w:tcW w:type="dxa" w:w="214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Generates basin-wide cross-sections &amp; reservoir sand maps</w:t>
            </w:r>
          </w:p>
        </w:tc>
      </w:tr>
      <w:tr>
        <w:trPr>
          <w:cantSplit/>
        </w:trPr>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3. Drilling Risk &amp; NPT Agent</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WITSML real-time rig telemetry, Mud loss records, Bit wear SCADA</w:t>
            </w:r>
          </w:p>
        </w:tc>
        <w:tc>
          <w:tcPr>
            <w:tcW w:type="dxa" w:w="214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3.5 Flash real-time timeseries anomaly detection</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Drilling Engineer alert approval for mud weight adjustment</w:t>
            </w:r>
          </w:p>
        </w:tc>
        <w:tc>
          <w:tcPr>
            <w:tcW w:type="dxa" w:w="214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Triggers real-time rig console warning &amp; adjusts WOB/RPM parameters</w:t>
            </w:r>
          </w:p>
        </w:tc>
      </w:tr>
      <w:tr>
        <w:trPr>
          <w:cantSplit/>
        </w:trPr>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4. Production Optimization Agent</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SCADA pressure/temperature, ESP electrical telemetry, RTA curves</w:t>
            </w:r>
          </w:p>
        </w:tc>
        <w:tc>
          <w:tcPr>
            <w:tcW w:type="dxa" w:w="214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3.5 Flash + Timeseries Foundation Model (Baker Hughes)</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Production Engineer approval for choke valve change</w:t>
            </w:r>
          </w:p>
        </w:tc>
        <w:tc>
          <w:tcPr>
            <w:tcW w:type="dxa" w:w="214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Sends automated setpoint adjustment to SCADA control loop</w:t>
            </w:r>
          </w:p>
        </w:tc>
      </w:tr>
      <w:tr>
        <w:trPr>
          <w:cantSplit/>
        </w:trPr>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5. Reliability &amp; Maintenance Agent</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Compressor vibration telemetry, Oil analysis reports, SAP PM logs</w:t>
            </w:r>
          </w:p>
        </w:tc>
        <w:tc>
          <w:tcPr>
            <w:tcW w:type="dxa" w:w="214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3.5 Pro predictive maintenance pattern recognition</w:t>
            </w:r>
          </w:p>
        </w:tc>
        <w:tc>
          <w:tcPr>
            <w:tcW w:type="dxa" w:w="188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Maintenance Lead sign-off on work order creation</w:t>
            </w:r>
          </w:p>
        </w:tc>
        <w:tc>
          <w:tcPr>
            <w:tcW w:type="dxa" w:w="214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Automatically generates SAP work orders &amp; dispatches field tech</w:t>
            </w:r>
          </w:p>
        </w:tc>
      </w:tr>
      <w:tr>
        <w:trPr>
          <w:cantSplit/>
        </w:trPr>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6. Process Safety &amp; MOC Agent</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Refinery HAZOP docs, P&amp;ID diagrams, Incident reports, Alarm logs</w:t>
            </w:r>
          </w:p>
        </w:tc>
        <w:tc>
          <w:tcPr>
            <w:tcW w:type="dxa" w:w="214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 3.5 Pro multimodal reasoning over P&amp;ID schematics &amp; MOC text</w:t>
            </w:r>
          </w:p>
        </w:tc>
        <w:tc>
          <w:tcPr>
            <w:tcW w:type="dxa" w:w="188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HSE Manager sign-off on Management of Change risk rating</w:t>
            </w:r>
          </w:p>
        </w:tc>
        <w:tc>
          <w:tcPr>
            <w:tcW w:type="dxa" w:w="214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Flags non-compliant P&amp;ID modifications &amp; blocks unsafe MOC approval</w:t>
            </w:r>
          </w:p>
        </w:tc>
      </w:tr>
    </w:tbl>
    <w:p>
      <w:pPr>
        <w:spacing w:before="40" w:after="120"/>
      </w:pPr>
    </w:p>
    <w:p>
      <w:pPr>
        <w:spacing w:before="80" w:after="80"/>
      </w:pPr>
    </w:p>
    <w:p>
      <w:pPr>
        <w:keepNext/>
        <w:spacing w:before="280" w:after="80"/>
        <w:pBdr>
          <w:bottom w:val="single" w:sz="6" w:space="3" w:color="DADCE0"/>
        </w:pBdr>
      </w:pPr>
      <w:r>
        <w:rPr>
          <w:rFonts w:ascii="Arial" w:hAnsi="Arial"/>
          <w:b/>
          <w:color w:val="174EA6"/>
          <w:sz w:val="26"/>
        </w:rPr>
        <w:t>Appendix C: Ecosystem &amp; Strategic Partnerships</w:t>
      </w:r>
    </w:p>
    <w:p>
      <w:pPr>
        <w:keepNext/>
        <w:spacing w:before="200" w:after="60"/>
      </w:pPr>
      <w:r>
        <w:rPr>
          <w:rFonts w:ascii="Arial" w:hAnsi="Arial"/>
          <w:b/>
          <w:color w:val="202124"/>
          <w:sz w:val="22"/>
        </w:rPr>
        <w:t>C.1 ISV Foundation Model Co-Development Data Coalition</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cantSplit/>
        </w:trPr>
        <w:tc>
          <w:tcPr>
            <w:tcW w:type="dxa" w:w="1703"/>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ISV Partner Name</w:t>
            </w:r>
          </w:p>
        </w:tc>
        <w:tc>
          <w:tcPr>
            <w:tcW w:type="dxa" w:w="2271"/>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Primary Data Contribution</w:t>
            </w:r>
          </w:p>
        </w:tc>
        <w:tc>
          <w:tcPr>
            <w:tcW w:type="dxa" w:w="1703"/>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Target Foundation Model</w:t>
            </w:r>
          </w:p>
        </w:tc>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Commercial Integration Vector</w:t>
            </w:r>
          </w:p>
        </w:tc>
        <w:tc>
          <w:tcPr>
            <w:tcW w:type="dxa" w:w="2271"/>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IP Governance Rule</w:t>
            </w:r>
          </w:p>
        </w:tc>
      </w:tr>
      <w:tr>
        <w:trPr>
          <w:cantSplit/>
        </w:trPr>
        <w:tc>
          <w:tcPr>
            <w:tcW w:type="dxa" w:w="170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TGS</w:t>
            </w:r>
          </w:p>
        </w:tc>
        <w:tc>
          <w:tcPr>
            <w:tcW w:type="dxa" w:w="227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Multi-client seismic volumes, well log libraries, basin analytics</w:t>
            </w:r>
          </w:p>
        </w:tc>
        <w:tc>
          <w:tcPr>
            <w:tcW w:type="dxa" w:w="170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Subsurface &amp; Basin FM</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Gemini-powered TGS Data Marketplace</w:t>
            </w:r>
          </w:p>
        </w:tc>
        <w:tc>
          <w:tcPr>
            <w:tcW w:type="dxa" w:w="227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Zero joint IP; operator fine-tuned weights belong to operator</w:t>
            </w:r>
          </w:p>
        </w:tc>
      </w:tr>
      <w:tr>
        <w:trPr>
          <w:cantSplit/>
        </w:trPr>
        <w:tc>
          <w:tcPr>
            <w:tcW w:type="dxa" w:w="170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SLB (Delfi)</w:t>
            </w:r>
          </w:p>
        </w:tc>
        <w:tc>
          <w:tcPr>
            <w:tcW w:type="dxa" w:w="227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Petrel subsurface workflows, reservoir fluid dynamics, drilling data</w:t>
            </w:r>
          </w:p>
        </w:tc>
        <w:tc>
          <w:tcPr>
            <w:tcW w:type="dxa" w:w="170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Subsurface + Timeseries FM</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SLB Delfi &amp; Sequestri native on GCP</w:t>
            </w:r>
          </w:p>
        </w:tc>
        <w:tc>
          <w:tcPr>
            <w:tcW w:type="dxa" w:w="227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Tripartite IP reserved exclusively for operator-involved pilots</w:t>
            </w:r>
          </w:p>
        </w:tc>
      </w:tr>
      <w:tr>
        <w:trPr>
          <w:cantSplit/>
        </w:trPr>
        <w:tc>
          <w:tcPr>
            <w:tcW w:type="dxa" w:w="170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Baker Hughes</w:t>
            </w:r>
          </w:p>
        </w:tc>
        <w:tc>
          <w:tcPr>
            <w:tcW w:type="dxa" w:w="227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WITSML downhole telemetry, artificial lift diagnostics, turbomachinery</w:t>
            </w:r>
          </w:p>
        </w:tc>
        <w:tc>
          <w:tcPr>
            <w:tcW w:type="dxa" w:w="170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Timeseries FM</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Cordant IET platform on GCP</w:t>
            </w:r>
          </w:p>
        </w:tc>
        <w:tc>
          <w:tcPr>
            <w:tcW w:type="dxa" w:w="227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Zero joint IP between Google and ISV</w:t>
            </w:r>
          </w:p>
        </w:tc>
      </w:tr>
      <w:tr>
        <w:trPr>
          <w:cantSplit/>
        </w:trPr>
        <w:tc>
          <w:tcPr>
            <w:tcW w:type="dxa" w:w="170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Siemens Energy</w:t>
            </w:r>
          </w:p>
        </w:tc>
        <w:tc>
          <w:tcPr>
            <w:tcW w:type="dxa" w:w="227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Industrial SCADA telemetry, gas turbine &amp; compressor time-series</w:t>
            </w:r>
          </w:p>
        </w:tc>
        <w:tc>
          <w:tcPr>
            <w:tcW w:type="dxa" w:w="170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Timeseries FM</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Siemens Senseye APM on GCP</w:t>
            </w:r>
          </w:p>
        </w:tc>
        <w:tc>
          <w:tcPr>
            <w:tcW w:type="dxa" w:w="227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Zero joint IP between Google and ISV</w:t>
            </w:r>
          </w:p>
        </w:tc>
      </w:tr>
      <w:tr>
        <w:trPr>
          <w:cantSplit/>
        </w:trPr>
        <w:tc>
          <w:tcPr>
            <w:tcW w:type="dxa" w:w="170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AspenTech</w:t>
            </w:r>
          </w:p>
        </w:tc>
        <w:tc>
          <w:tcPr>
            <w:tcW w:type="dxa" w:w="227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Refining process simulation data, chemical APM datasets</w:t>
            </w:r>
          </w:p>
        </w:tc>
        <w:tc>
          <w:tcPr>
            <w:tcW w:type="dxa" w:w="170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Timeseries FM</w:t>
            </w:r>
          </w:p>
        </w:tc>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AspenOne refining optimizer on GCP</w:t>
            </w:r>
          </w:p>
        </w:tc>
        <w:tc>
          <w:tcPr>
            <w:tcW w:type="dxa" w:w="227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Zero joint IP between Google and ISV</w:t>
            </w:r>
          </w:p>
        </w:tc>
      </w:tr>
      <w:tr>
        <w:trPr>
          <w:cantSplit/>
        </w:trPr>
        <w:tc>
          <w:tcPr>
            <w:tcW w:type="dxa" w:w="170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Enverus</w:t>
            </w:r>
          </w:p>
        </w:tc>
        <w:tc>
          <w:tcPr>
            <w:tcW w:type="dxa" w:w="227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Basin-level completion data, land/lease boundaries, market intelligence</w:t>
            </w:r>
          </w:p>
        </w:tc>
        <w:tc>
          <w:tcPr>
            <w:tcW w:type="dxa" w:w="170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Subsurface + Market FM</w:t>
            </w:r>
          </w:p>
        </w:tc>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Enverus PRISM platform integration</w:t>
            </w:r>
          </w:p>
        </w:tc>
        <w:tc>
          <w:tcPr>
            <w:tcW w:type="dxa" w:w="227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Zero joint IP between Google and ISV</w:t>
            </w:r>
          </w:p>
        </w:tc>
      </w:tr>
    </w:tbl>
    <w:p>
      <w:pPr>
        <w:spacing w:before="40" w:after="120"/>
      </w:pPr>
    </w:p>
    <w:p>
      <w:pPr>
        <w:spacing w:before="80" w:after="80"/>
      </w:pPr>
    </w:p>
    <w:p>
      <w:pPr>
        <w:keepNext/>
        <w:spacing w:before="200" w:after="60"/>
      </w:pPr>
      <w:r>
        <w:rPr>
          <w:rFonts w:ascii="Arial" w:hAnsi="Arial"/>
          <w:b/>
          <w:color w:val="202124"/>
          <w:sz w:val="22"/>
        </w:rPr>
        <w:t>C.2 Startup Accelerator Portfolio (Google for Startups Cloud Program)</w:t>
      </w:r>
    </w:p>
    <w:tbl>
      <w:tblPr>
        <w:tblW w:type="auto" w:w="0"/>
        <w:jc w:val="center"/>
        <w:tblLayout w:type="fixed"/>
        <w:tblLook w:firstColumn="1" w:firstRow="1" w:lastColumn="0" w:lastRow="0" w:noHBand="0" w:noVBand="1" w:val="04A0"/>
      </w:tblPr>
      <w:tblGrid>
        <w:gridCol w:w="2484"/>
        <w:gridCol w:w="2484"/>
        <w:gridCol w:w="2484"/>
        <w:gridCol w:w="2484"/>
      </w:tblGrid>
      <w:tr>
        <w:trPr>
          <w:tblHeader/>
          <w:cantSplit/>
        </w:trPr>
        <w:tc>
          <w:tcPr>
            <w:tcW w:type="dxa" w:w="198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Startup Name</w:t>
            </w:r>
          </w:p>
        </w:tc>
        <w:tc>
          <w:tcPr>
            <w:tcW w:type="dxa" w:w="2555"/>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Technology Focus</w:t>
            </w:r>
          </w:p>
        </w:tc>
        <w:tc>
          <w:tcPr>
            <w:tcW w:type="dxa" w:w="2271"/>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Google Platform Integration</w:t>
            </w:r>
          </w:p>
        </w:tc>
        <w:tc>
          <w:tcPr>
            <w:tcW w:type="dxa" w:w="3123"/>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Enterprise Operator Use Case</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Highwood Emissions</w:t>
            </w:r>
          </w:p>
        </w:tc>
        <w:tc>
          <w:tcPr>
            <w:tcW w:type="dxa" w:w="255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Methane abatement planning &amp; regulatory intelligence</w:t>
            </w:r>
          </w:p>
        </w:tc>
        <w:tc>
          <w:tcPr>
            <w:tcW w:type="dxa" w:w="227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Vertex AI + BigQuery</w:t>
            </w:r>
          </w:p>
        </w:tc>
        <w:tc>
          <w:tcPr>
            <w:tcW w:type="dxa" w:w="312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Automated Methane abatement roadmap planning for EPA Subpart W</w:t>
            </w:r>
          </w:p>
        </w:tc>
      </w:tr>
      <w:tr>
        <w:trPr>
          <w:cantSplit/>
        </w:trPr>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Qube Technologies</w:t>
            </w:r>
          </w:p>
        </w:tc>
        <w:tc>
          <w:tcPr>
            <w:tcW w:type="dxa" w:w="255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Continuous optical/sensor methane detection</w:t>
            </w:r>
          </w:p>
        </w:tc>
        <w:tc>
          <w:tcPr>
            <w:tcW w:type="dxa" w:w="227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IoT Core + Vertex AI</w:t>
            </w:r>
          </w:p>
        </w:tc>
        <w:tc>
          <w:tcPr>
            <w:tcW w:type="dxa" w:w="312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Wellsite-scale continuous emissions monitoring &amp; SCADA alert routing</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Carbon Direct</w:t>
            </w:r>
          </w:p>
        </w:tc>
        <w:tc>
          <w:tcPr>
            <w:tcW w:type="dxa" w:w="255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Carbon management &amp; CCUS verification software</w:t>
            </w:r>
          </w:p>
        </w:tc>
        <w:tc>
          <w:tcPr>
            <w:tcW w:type="dxa" w:w="227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BigQuery + Cloud Spanner</w:t>
            </w:r>
          </w:p>
        </w:tc>
        <w:tc>
          <w:tcPr>
            <w:tcW w:type="dxa" w:w="312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CCUS storage site verification &amp; 45Q tax credit audit logging</w:t>
            </w:r>
          </w:p>
        </w:tc>
      </w:tr>
      <w:tr>
        <w:trPr>
          <w:cantSplit/>
        </w:trPr>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Planet Labs / MethaneSAT</w:t>
            </w:r>
          </w:p>
        </w:tc>
        <w:tc>
          <w:tcPr>
            <w:tcW w:type="dxa" w:w="255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High-resolution satellite methane plume detection</w:t>
            </w:r>
          </w:p>
        </w:tc>
        <w:tc>
          <w:tcPr>
            <w:tcW w:type="dxa" w:w="227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Google Earth Engine Enterprise</w:t>
            </w:r>
          </w:p>
        </w:tc>
        <w:tc>
          <w:tcPr>
            <w:tcW w:type="dxa" w:w="312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Global satellite emissions attribution down to 3-8m spatial resolution</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Corva</w:t>
            </w:r>
          </w:p>
        </w:tc>
        <w:tc>
          <w:tcPr>
            <w:tcW w:type="dxa" w:w="255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Real-time drilling &amp; completions operational analytics</w:t>
            </w:r>
          </w:p>
        </w:tc>
        <w:tc>
          <w:tcPr>
            <w:tcW w:type="dxa" w:w="227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GKE + Vertex AI Agent Builder</w:t>
            </w:r>
          </w:p>
        </w:tc>
        <w:tc>
          <w:tcPr>
            <w:tcW w:type="dxa" w:w="312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Real-time drilling optimization apps running on rig-edge compute</w:t>
            </w:r>
          </w:p>
        </w:tc>
      </w:tr>
      <w:tr>
        <w:trPr>
          <w:cantSplit/>
        </w:trPr>
        <w:tc>
          <w:tcPr>
            <w:tcW w:type="dxa" w:w="198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ResFrac</w:t>
            </w:r>
          </w:p>
        </w:tc>
        <w:tc>
          <w:tcPr>
            <w:tcW w:type="dxa" w:w="255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Coupled geomechanics &amp; hydraulic fracturing simulation</w:t>
            </w:r>
          </w:p>
        </w:tc>
        <w:tc>
          <w:tcPr>
            <w:tcW w:type="dxa" w:w="227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Google Cloud HPC Toolkit</w:t>
            </w:r>
          </w:p>
        </w:tc>
        <w:tc>
          <w:tcPr>
            <w:tcW w:type="dxa" w:w="312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High-fidelity hydraulic fracture simulation bursting to GCP GPUs</w:t>
            </w:r>
          </w:p>
        </w:tc>
      </w:tr>
      <w:tr>
        <w:trPr>
          <w:cantSplit/>
        </w:trPr>
        <w:tc>
          <w:tcPr>
            <w:tcW w:type="dxa" w:w="198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Subsurface AI</w:t>
            </w:r>
          </w:p>
        </w:tc>
        <w:tc>
          <w:tcPr>
            <w:tcW w:type="dxa" w:w="255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Deep learning seismic &amp; geological interpretation</w:t>
            </w:r>
          </w:p>
        </w:tc>
        <w:tc>
          <w:tcPr>
            <w:tcW w:type="dxa" w:w="227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Vertex AI Model Garden</w:t>
            </w:r>
          </w:p>
        </w:tc>
        <w:tc>
          <w:tcPr>
            <w:tcW w:type="dxa" w:w="312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Automated seismic fault picking &amp; horizon interpretation engines</w:t>
            </w:r>
          </w:p>
        </w:tc>
      </w:tr>
    </w:tbl>
    <w:p>
      <w:pPr>
        <w:spacing w:before="40" w:after="120"/>
      </w:pPr>
    </w:p>
    <w:p>
      <w:pPr>
        <w:spacing w:before="80" w:after="80"/>
      </w:pPr>
    </w:p>
    <w:p>
      <w:pPr>
        <w:keepNext/>
        <w:spacing w:before="200" w:after="60"/>
      </w:pPr>
      <w:r>
        <w:rPr>
          <w:rFonts w:ascii="Arial" w:hAnsi="Arial"/>
          <w:b/>
          <w:color w:val="202124"/>
          <w:sz w:val="22"/>
        </w:rPr>
        <w:t>C.3 Sovereign Cloud &amp; Security Operating Topology (Saudi Arabia Focus)</w:t>
      </w:r>
    </w:p>
    <w:tbl>
      <w:tblPr>
        <w:tblW w:type="auto" w:w="0"/>
        <w:jc w:val="center"/>
        <w:tblLayout w:type="fixed"/>
        <w:tblLook w:firstColumn="1" w:firstRow="1" w:lastColumn="0" w:lastRow="0" w:noHBand="0" w:noVBand="1" w:val="04A0"/>
      </w:tblPr>
      <w:tblGrid>
        <w:gridCol w:w="9936"/>
      </w:tblGrid>
      <w:tr>
        <w:tc>
          <w:tcPr>
            <w:tcW w:type="dxa" w:w="9936"/>
            <w:shd w:fill="F8F9FA"/>
            <w:tcMar>
              <w:top w:w="140" w:type="dxa"/>
              <w:bottom w:w="140" w:type="dxa"/>
              <w:left w:w="180" w:type="dxa"/>
              <w:right w:w="160" w:type="dxa"/>
            </w:tcMar>
            <w:tcBorders>
              <w:top w:val="single" w:sz="4" w:space="0" w:color="DADCE0"/>
              <w:bottom w:val="single" w:sz="4" w:space="0" w:color="DADCE0"/>
              <w:left w:val="single" w:sz="24" w:space="0" w:color="1A73E8"/>
              <w:right w:val="single" w:sz="4" w:space="0" w:color="DADCE0"/>
            </w:tcBorders>
          </w:tcPr>
          <w:p>
            <w:pPr>
              <w:spacing w:before="0" w:after="80"/>
            </w:pPr>
            <w:r>
              <w:rPr>
                <w:b/>
                <w:color w:val="1A73E8"/>
                <w:sz w:val="21"/>
              </w:rPr>
              <w:t>FIGURE C.3 — Multi-Tier Sovereign &amp; Security Regional Operating Topology</w:t>
            </w:r>
          </w:p>
          <w:p>
            <w:pPr>
              <w:spacing w:before="40" w:after="40" w:line="276" w:lineRule="auto"/>
            </w:pPr>
            <w:r>
              <w:rPr>
                <w:b/>
                <w:sz w:val="19"/>
              </w:rPr>
              <w:t>Dammam me-central2 (Class C Sovereign Region)</w:t>
            </w:r>
            <w:r>
              <w:rPr>
                <w:sz w:val="19"/>
              </w:rPr>
              <w:t>: CST / NCA Class C Certified · CNTXT External Key Management (EKM) · In-Country KSA Boundary</w:t>
            </w:r>
          </w:p>
          <w:p>
            <w:pPr>
              <w:spacing w:before="40" w:after="40" w:line="276" w:lineRule="auto"/>
            </w:pPr>
            <w:r>
              <w:rPr>
                <w:b/>
                <w:sz w:val="19"/>
              </w:rPr>
              <w:t>GDC Air-Gapped (OT/ICS SOC)</w:t>
            </w:r>
            <w:r>
              <w:rPr>
                <w:sz w:val="19"/>
              </w:rPr>
              <w:t>: Fully Disconnected Local Hardware · Mandiant ICS Threat Sensor · Local SCADA Zero-Trust SOC</w:t>
            </w:r>
          </w:p>
          <w:p>
            <w:pPr>
              <w:spacing w:before="40" w:after="40" w:line="276" w:lineRule="auto"/>
            </w:pPr>
            <w:r>
              <w:rPr>
                <w:b/>
                <w:sz w:val="19"/>
              </w:rPr>
              <w:t>HUMAIN AI Platform Engine (Saudi GTM)</w:t>
            </w:r>
            <w:r>
              <w:rPr>
                <w:sz w:val="19"/>
              </w:rPr>
              <w:t>: Saudi Aramco &amp; Ministry AI · In-Kingdom Value Addition (IKVA) · SABIC &amp; Ma'aden Enablement</w:t>
            </w:r>
          </w:p>
        </w:tc>
      </w:tr>
    </w:tbl>
    <w:p>
      <w:pPr>
        <w:spacing w:before="0" w:after="80"/>
      </w:pPr>
    </w:p>
    <w:p>
      <w:pPr>
        <w:spacing w:before="40" w:after="80" w:line="276" w:lineRule="auto"/>
      </w:pPr>
      <w:r>
        <w:t>• CST / NCA Class C Certified&lt;br&gt;</w:t>
      </w:r>
    </w:p>
    <w:p>
      <w:pPr>
        <w:spacing w:before="40" w:after="80" w:line="276" w:lineRule="auto"/>
      </w:pPr>
      <w:r>
        <w:t>• CNTXT External Key Manager&lt;br&gt;</w:t>
      </w:r>
    </w:p>
    <w:p>
      <w:pPr>
        <w:spacing w:before="40" w:after="80" w:line="276" w:lineRule="auto"/>
      </w:pPr>
      <w:r>
        <w:t>• KSA In-Country Boundary</w:t>
      </w:r>
    </w:p>
    <w:p>
      <w:pPr>
        <w:spacing w:before="40" w:after="80" w:line="276" w:lineRule="auto"/>
      </w:pPr>
      <w:r>
        <w:t>• Fully Disconnected Hardware&lt;br&gt;</w:t>
      </w:r>
    </w:p>
    <w:p>
      <w:pPr>
        <w:spacing w:before="40" w:after="80" w:line="276" w:lineRule="auto"/>
      </w:pPr>
      <w:r>
        <w:t>• Mandiant ICS Threat Sensor&lt;br&gt;</w:t>
      </w:r>
    </w:p>
    <w:p>
      <w:pPr>
        <w:spacing w:before="40" w:after="80" w:line="276" w:lineRule="auto"/>
      </w:pPr>
      <w:r>
        <w:t>• Local SCADA Zero-Trust SOC</w:t>
      </w:r>
    </w:p>
    <w:p>
      <w:pPr>
        <w:spacing w:before="40" w:after="80" w:line="276" w:lineRule="auto"/>
      </w:pPr>
      <w:r>
        <w:t>• Saudi Aramco &amp; Ministry AI&lt;br&gt;</w:t>
      </w:r>
    </w:p>
    <w:p>
      <w:pPr>
        <w:spacing w:before="40" w:after="80" w:line="276" w:lineRule="auto"/>
      </w:pPr>
      <w:r>
        <w:t>• IKVA Local Technology Transfer&lt;br&gt;</w:t>
      </w:r>
    </w:p>
    <w:p>
      <w:pPr>
        <w:spacing w:before="40" w:after="80" w:line="276" w:lineRule="auto"/>
      </w:pPr>
      <w:r>
        <w:t>• SABIC &amp; Ma'aden Enablement</w:t>
      </w:r>
    </w:p>
    <w:tbl>
      <w:tblPr>
        <w:tblW w:type="auto" w:w="0"/>
        <w:jc w:val="center"/>
        <w:tblLayout w:type="fixed"/>
        <w:tblLook w:firstColumn="1" w:firstRow="1" w:lastColumn="0" w:lastRow="0" w:noHBand="0" w:noVBand="1" w:val="04A0"/>
      </w:tblPr>
      <w:tblGrid>
        <w:gridCol w:w="2484"/>
        <w:gridCol w:w="2484"/>
        <w:gridCol w:w="2484"/>
        <w:gridCol w:w="2484"/>
      </w:tblGrid>
      <w:tr>
        <w:trPr>
          <w:tblHeader/>
          <w:cantSplit/>
        </w:trPr>
        <w:tc>
          <w:tcPr>
            <w:tcW w:type="dxa" w:w="207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Topology Layer</w:t>
            </w:r>
          </w:p>
        </w:tc>
        <w:tc>
          <w:tcPr>
            <w:tcW w:type="dxa" w:w="276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Infrastructure &amp; Compliance Specs</w:t>
            </w:r>
          </w:p>
        </w:tc>
        <w:tc>
          <w:tcPr>
            <w:tcW w:type="dxa" w:w="248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Mandiant Security &amp; Threat Defense</w:t>
            </w:r>
          </w:p>
        </w:tc>
        <w:tc>
          <w:tcPr>
            <w:tcW w:type="dxa" w:w="262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Targeted KSA Energy Workloads</w:t>
            </w:r>
          </w:p>
        </w:tc>
      </w:tr>
      <w:tr>
        <w:trPr>
          <w:cantSplit/>
        </w:trPr>
        <w:tc>
          <w:tcPr>
            <w:tcW w:type="dxa" w:w="207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Class C Sovereign Region</w:t>
            </w:r>
          </w:p>
          <w:p>
            <w:pPr>
              <w:spacing w:before="0" w:after="0" w:line="264" w:lineRule="auto"/>
            </w:pPr>
            <w:r>
              <w:rPr>
                <w:i/>
                <w:sz w:val="16"/>
              </w:rPr>
              <w:t>(Dammam me-central2)</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 CST / NCA Class C Certified</w:t>
            </w:r>
          </w:p>
          <w:p>
            <w:pPr>
              <w:spacing w:before="0" w:after="0" w:line="264" w:lineRule="auto"/>
            </w:pPr>
            <w:r>
              <w:rPr>
                <w:sz w:val="16"/>
              </w:rPr>
              <w:t>• CNTXT External Key Management (EKM)</w:t>
            </w:r>
          </w:p>
          <w:p>
            <w:pPr>
              <w:spacing w:before="0" w:after="0" w:line="264" w:lineRule="auto"/>
            </w:pPr>
            <w:r>
              <w:rPr>
                <w:sz w:val="16"/>
              </w:rPr>
              <w:t>• KSA In-Country Data Boundary</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 Cloud Security Command Center Premium</w:t>
            </w:r>
          </w:p>
          <w:p>
            <w:pPr>
              <w:spacing w:before="0" w:after="0" w:line="264" w:lineRule="auto"/>
            </w:pPr>
            <w:r>
              <w:rPr>
                <w:sz w:val="16"/>
              </w:rPr>
              <w:t>• Sovereign SOC integration</w:t>
            </w:r>
          </w:p>
          <w:p>
            <w:pPr>
              <w:spacing w:before="0" w:after="0" w:line="264" w:lineRule="auto"/>
            </w:pPr>
            <w:r>
              <w:rPr>
                <w:sz w:val="16"/>
              </w:rPr>
              <w:t>• Mandiant Managed Defense</w:t>
            </w:r>
          </w:p>
        </w:tc>
        <w:tc>
          <w:tcPr>
            <w:tcW w:type="dxa" w:w="262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Saudi Aramco enterprise cloud, Ministry of Energy data platforms, SABIC &amp; Ma'aden workloads</w:t>
            </w:r>
          </w:p>
        </w:tc>
      </w:tr>
      <w:tr>
        <w:trPr>
          <w:cantSplit/>
        </w:trPr>
        <w:tc>
          <w:tcPr>
            <w:tcW w:type="dxa" w:w="207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GDC Air-Gapped OT/ICS</w:t>
            </w:r>
          </w:p>
          <w:p>
            <w:pPr>
              <w:spacing w:before="0" w:after="0" w:line="264" w:lineRule="auto"/>
            </w:pPr>
            <w:r>
              <w:rPr>
                <w:i/>
                <w:sz w:val="16"/>
              </w:rPr>
              <w:t>(On-Premise Rig &amp; Refinery)</w:t>
            </w:r>
          </w:p>
        </w:tc>
        <w:tc>
          <w:tcPr>
            <w:tcW w:type="dxa" w:w="276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 Fully disconnected local hardware</w:t>
            </w:r>
          </w:p>
          <w:p>
            <w:pPr>
              <w:spacing w:before="0" w:after="0" w:line="264" w:lineRule="auto"/>
            </w:pPr>
            <w:r>
              <w:rPr>
                <w:sz w:val="16"/>
              </w:rPr>
              <w:t>• Zero-trust edge compute nodes</w:t>
            </w:r>
          </w:p>
          <w:p>
            <w:pPr>
              <w:spacing w:before="0" w:after="0" w:line="264" w:lineRule="auto"/>
            </w:pPr>
            <w:r>
              <w:rPr>
                <w:sz w:val="16"/>
              </w:rPr>
              <w:t>• Air-gapped local AI inference</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 Mandiant ICS Threat Sensor</w:t>
            </w:r>
          </w:p>
          <w:p>
            <w:pPr>
              <w:spacing w:before="0" w:after="0" w:line="264" w:lineRule="auto"/>
            </w:pPr>
            <w:r>
              <w:rPr>
                <w:sz w:val="16"/>
              </w:rPr>
              <w:t>• Local SCADA Zero-Trust SOC</w:t>
            </w:r>
          </w:p>
          <w:p>
            <w:pPr>
              <w:spacing w:before="0" w:after="0" w:line="264" w:lineRule="auto"/>
            </w:pPr>
            <w:r>
              <w:rPr>
                <w:sz w:val="16"/>
              </w:rPr>
              <w:t>• Real-time OT anomaly detection</w:t>
            </w:r>
          </w:p>
        </w:tc>
        <w:tc>
          <w:tcPr>
            <w:tcW w:type="dxa" w:w="262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Critical OT/ICS environments, remote drilling rigs, offshore platforms, refinery control systems</w:t>
            </w:r>
          </w:p>
        </w:tc>
      </w:tr>
      <w:tr>
        <w:trPr>
          <w:cantSplit/>
        </w:trPr>
        <w:tc>
          <w:tcPr>
            <w:tcW w:type="dxa" w:w="207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HUMAIN AI Platform Engine</w:t>
            </w:r>
          </w:p>
          <w:p>
            <w:pPr>
              <w:spacing w:before="0" w:after="0" w:line="264" w:lineRule="auto"/>
            </w:pPr>
            <w:r>
              <w:rPr>
                <w:i/>
                <w:sz w:val="16"/>
              </w:rPr>
              <w:t>(Saudi GTM Enablement)</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 Enterprise Agentic Platform on GCP</w:t>
            </w:r>
          </w:p>
          <w:p>
            <w:pPr>
              <w:spacing w:before="0" w:after="0" w:line="264" w:lineRule="auto"/>
            </w:pPr>
            <w:r>
              <w:rPr>
                <w:sz w:val="16"/>
              </w:rPr>
              <w:t>• In-Kingdom Value Addition (IKVA)</w:t>
            </w:r>
          </w:p>
          <w:p>
            <w:pPr>
              <w:spacing w:before="0" w:after="0" w:line="264" w:lineRule="auto"/>
            </w:pPr>
            <w:r>
              <w:rPr>
                <w:sz w:val="16"/>
              </w:rPr>
              <w:t>• Local workforce AI enablement</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 Unified agent governance &amp; audit logging</w:t>
            </w:r>
          </w:p>
          <w:p>
            <w:pPr>
              <w:spacing w:before="0" w:after="0" w:line="264" w:lineRule="auto"/>
            </w:pPr>
            <w:r>
              <w:rPr>
                <w:sz w:val="16"/>
              </w:rPr>
              <w:t>• Role-based access control (RBAC)</w:t>
            </w:r>
          </w:p>
          <w:p>
            <w:pPr>
              <w:spacing w:before="0" w:after="0" w:line="264" w:lineRule="auto"/>
            </w:pPr>
            <w:r>
              <w:rPr>
                <w:sz w:val="16"/>
              </w:rPr>
              <w:t>• Sovereign AI model guardrails</w:t>
            </w:r>
          </w:p>
        </w:tc>
        <w:tc>
          <w:tcPr>
            <w:tcW w:type="dxa" w:w="262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Joint GTM with Saudi Aramco, Ministry of Energy, and Saudi industrial entities</w:t>
            </w:r>
          </w:p>
        </w:tc>
      </w:tr>
    </w:tbl>
    <w:p>
      <w:pPr>
        <w:spacing w:before="40" w:after="120"/>
      </w:pPr>
    </w:p>
    <w:p>
      <w:pPr>
        <w:spacing w:before="80" w:after="80"/>
      </w:pPr>
    </w:p>
    <w:p>
      <w:pPr>
        <w:keepNext/>
        <w:spacing w:before="280" w:after="80"/>
        <w:pBdr>
          <w:bottom w:val="single" w:sz="6" w:space="3" w:color="DADCE0"/>
        </w:pBdr>
      </w:pPr>
      <w:r>
        <w:rPr>
          <w:rFonts w:ascii="Arial" w:hAnsi="Arial"/>
          <w:b/>
          <w:color w:val="174EA6"/>
          <w:sz w:val="26"/>
        </w:rPr>
        <w:t>Appendix D: THINK BIG Transformative Initiatives</w:t>
      </w:r>
    </w:p>
    <w:p>
      <w:pPr>
        <w:keepNext/>
        <w:spacing w:before="200" w:after="60"/>
      </w:pPr>
      <w:r>
        <w:rPr>
          <w:rFonts w:ascii="Arial" w:hAnsi="Arial"/>
          <w:b/>
          <w:color w:val="202124"/>
          <w:sz w:val="22"/>
        </w:rPr>
        <w:t>D.1 Project Interchange: Commercial Bilateral Operating Model</w:t>
      </w:r>
    </w:p>
    <w:tbl>
      <w:tblPr>
        <w:tblW w:type="auto" w:w="0"/>
        <w:jc w:val="center"/>
        <w:tblLayout w:type="fixed"/>
        <w:tblLook w:firstColumn="1" w:firstRow="1" w:lastColumn="0" w:lastRow="0" w:noHBand="0" w:noVBand="1" w:val="04A0"/>
      </w:tblPr>
      <w:tblGrid>
        <w:gridCol w:w="9936"/>
      </w:tblGrid>
      <w:tr>
        <w:tc>
          <w:tcPr>
            <w:tcW w:type="dxa" w:w="9936"/>
            <w:shd w:fill="F8F9FA"/>
            <w:tcMar>
              <w:top w:w="140" w:type="dxa"/>
              <w:bottom w:w="140" w:type="dxa"/>
              <w:left w:w="180" w:type="dxa"/>
              <w:right w:w="160" w:type="dxa"/>
            </w:tcMar>
            <w:tcBorders>
              <w:top w:val="single" w:sz="4" w:space="0" w:color="DADCE0"/>
              <w:bottom w:val="single" w:sz="4" w:space="0" w:color="DADCE0"/>
              <w:left w:val="single" w:sz="24" w:space="0" w:color="1A73E8"/>
              <w:right w:val="single" w:sz="4" w:space="0" w:color="DADCE0"/>
            </w:tcBorders>
          </w:tcPr>
          <w:p>
            <w:pPr>
              <w:spacing w:before="0" w:after="80"/>
            </w:pPr>
            <w:r>
              <w:rPr>
                <w:b/>
                <w:color w:val="1A73E8"/>
                <w:sz w:val="21"/>
              </w:rPr>
              <w:t>FIGURE D.1 — Project Interchange Bilateral Value Exchange Loop</w:t>
            </w:r>
          </w:p>
          <w:p>
            <w:pPr>
              <w:spacing w:before="40" w:after="40" w:line="276" w:lineRule="auto"/>
            </w:pPr>
            <w:r>
              <w:rPr>
                <w:b/>
                <w:sz w:val="19"/>
              </w:rPr>
              <w:t>Energy Operator Commitments (EQT, Pertamina, TotalEnergies)</w:t>
            </w:r>
            <w:r>
              <w:rPr>
                <w:sz w:val="19"/>
              </w:rPr>
              <w:t>: Firm Power PPAs (Gas/Geothermal/SMR) · Power-Adjacent Land &amp; Permits · SCADA &amp; Drilling Telemetry</w:t>
            </w:r>
          </w:p>
          <w:p>
            <w:pPr>
              <w:spacing w:before="40" w:after="40" w:line="276" w:lineRule="auto"/>
            </w:pPr>
            <w:r>
              <w:rPr>
                <w:b/>
                <w:sz w:val="19"/>
              </w:rPr>
              <w:t>Google &amp; Alphabet Deliverables</w:t>
            </w:r>
            <w:r>
              <w:rPr>
                <w:sz w:val="19"/>
              </w:rPr>
              <w:t>: Preferential Anchor GCP Credits (20–40% below list) · DeepMind Science Lab Access · Tapestry Grid AI &amp; Priority TPU/GPU SLAs</w:t>
            </w:r>
          </w:p>
          <w:p>
            <w:pPr>
              <w:spacing w:before="40" w:after="40" w:line="276" w:lineRule="auto"/>
            </w:pPr>
            <w:r>
              <w:rPr>
                <w:b/>
                <w:sz w:val="19"/>
              </w:rPr>
              <w:t>Bilateral Strategic Value</w:t>
            </w:r>
            <w:r>
              <w:rPr>
                <w:sz w:val="19"/>
              </w:rPr>
              <w:t>: Resolves data center power constraints while securing major GCP commitments with no competitor replication</w:t>
            </w:r>
          </w:p>
        </w:tc>
      </w:tr>
    </w:tbl>
    <w:p>
      <w:pPr>
        <w:spacing w:before="0" w:after="80"/>
      </w:pPr>
    </w:p>
    <w:p>
      <w:pPr>
        <w:spacing w:before="40" w:after="80" w:line="276" w:lineRule="auto"/>
      </w:pPr>
      <w:r>
        <w:t>&lt;strong&gt;Provides:&lt;/strong&gt;&lt;br&gt;</w:t>
      </w:r>
    </w:p>
    <w:p>
      <w:pPr>
        <w:spacing w:before="40" w:after="80" w:line="276" w:lineRule="auto"/>
      </w:pPr>
      <w:r>
        <w:t>• Firm Power PPAs (Gas/Geo/SMR)&lt;br&gt;</w:t>
      </w:r>
    </w:p>
    <w:p>
      <w:pPr>
        <w:spacing w:before="40" w:after="80" w:line="276" w:lineRule="auto"/>
      </w:pPr>
      <w:r>
        <w:t>• Power-Adjacent Land &amp; Permits&lt;br&gt;</w:t>
      </w:r>
    </w:p>
    <w:p>
      <w:pPr>
        <w:spacing w:before="40" w:after="80" w:line="276" w:lineRule="auto"/>
      </w:pPr>
      <w:r>
        <w:t>• Telemetry &amp; SCADA Data</w:t>
      </w:r>
    </w:p>
    <w:p>
      <w:pPr>
        <w:spacing w:before="40" w:after="80" w:line="276" w:lineRule="auto"/>
      </w:pPr>
      <w:r>
        <w:t>&lt;strong&gt;Delivers:&lt;/strong&gt;&lt;br&gt;</w:t>
      </w:r>
    </w:p>
    <w:p>
      <w:pPr>
        <w:spacing w:before="40" w:after="80" w:line="276" w:lineRule="auto"/>
      </w:pPr>
      <w:r>
        <w:t>• Preferential GCP Credits (20-40% below list)&lt;br&gt;</w:t>
      </w:r>
    </w:p>
    <w:p>
      <w:pPr>
        <w:spacing w:before="40" w:after="80" w:line="276" w:lineRule="auto"/>
      </w:pPr>
      <w:r>
        <w:t>• DeepMind Science Engine Access&lt;br&gt;</w:t>
      </w:r>
    </w:p>
    <w:p>
      <w:pPr>
        <w:spacing w:before="40" w:after="80" w:line="276" w:lineRule="auto"/>
      </w:pPr>
      <w:r>
        <w:t>• Tapestry Grid AI &amp; Priority TPU SLAs</w:t>
      </w:r>
    </w:p>
    <w:tbl>
      <w:tblPr>
        <w:tblW w:type="auto" w:w="0"/>
        <w:jc w:val="center"/>
        <w:tblLayout w:type="fixed"/>
        <w:tblLook w:firstColumn="1" w:firstRow="1" w:lastColumn="0" w:lastRow="0" w:noHBand="0" w:noVBand="1" w:val="04A0"/>
      </w:tblPr>
      <w:tblGrid>
        <w:gridCol w:w="2484"/>
        <w:gridCol w:w="2484"/>
        <w:gridCol w:w="2484"/>
        <w:gridCol w:w="2484"/>
      </w:tblGrid>
      <w:tr>
        <w:trPr>
          <w:tblHeader/>
          <w:cantSplit/>
        </w:trPr>
        <w:tc>
          <w:tcPr>
            <w:tcW w:type="dxa" w:w="179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Dimension</w:t>
            </w:r>
          </w:p>
        </w:tc>
        <w:tc>
          <w:tcPr>
            <w:tcW w:type="dxa" w:w="276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Energy Operator Commitments</w:t>
            </w:r>
          </w:p>
        </w:tc>
        <w:tc>
          <w:tcPr>
            <w:tcW w:type="dxa" w:w="276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Google / Alphabet Deliverables</w:t>
            </w:r>
          </w:p>
        </w:tc>
        <w:tc>
          <w:tcPr>
            <w:tcW w:type="dxa" w:w="262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Bilateral Strategic Value</w:t>
            </w:r>
          </w:p>
        </w:tc>
      </w:tr>
      <w:tr>
        <w:trPr>
          <w:cantSplit/>
        </w:trPr>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Commercial Off-Take</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Firm power generation PPA (Gas, Geothermal, Nuclear SMR, Storage)</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GCP Consumption Credits at anchor pricing tier (20–40% below list)</w:t>
            </w:r>
          </w:p>
        </w:tc>
        <w:tc>
          <w:tcPr>
            <w:tcW w:type="dxa" w:w="262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Resolves Google data center power constraints while securing major GCP commitment</w:t>
            </w:r>
          </w:p>
        </w:tc>
      </w:tr>
      <w:tr>
        <w:trPr>
          <w:cantSplit/>
        </w:trPr>
        <w:tc>
          <w:tcPr>
            <w:tcW w:type="dxa" w:w="17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Infrastructure &amp; Land</w:t>
            </w:r>
          </w:p>
        </w:tc>
        <w:tc>
          <w:tcPr>
            <w:tcW w:type="dxa" w:w="276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Power-adjacent land, grid permits, interconnection rights</w:t>
            </w:r>
          </w:p>
        </w:tc>
        <w:tc>
          <w:tcPr>
            <w:tcW w:type="dxa" w:w="276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Tapestry Grid Planning Module &amp; WeatherNext operational risk intelligence</w:t>
            </w:r>
          </w:p>
        </w:tc>
        <w:tc>
          <w:tcPr>
            <w:tcW w:type="dxa" w:w="262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Accelerates Google data center buildout by 12–18 months</w:t>
            </w:r>
          </w:p>
        </w:tc>
      </w:tr>
      <w:tr>
        <w:trPr>
          <w:cantSplit/>
        </w:trPr>
        <w:tc>
          <w:tcPr>
            <w:tcW w:type="dxa" w:w="179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Technology Access</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Joint operational telemetry sharing (SCADA, drilling, grid)</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Priority TPU/GPU capacity guarantees &amp; DeepMind Energy Lab R&amp;D access</w:t>
            </w:r>
          </w:p>
        </w:tc>
        <w:tc>
          <w:tcPr>
            <w:tcW w:type="dxa" w:w="262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Provides operator with unfair technological advantage in production efficiency</w:t>
            </w:r>
          </w:p>
        </w:tc>
      </w:tr>
      <w:tr>
        <w:trPr>
          <w:cantSplit/>
        </w:trPr>
        <w:tc>
          <w:tcPr>
            <w:tcW w:type="dxa" w:w="179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Pilot Accounts</w:t>
            </w:r>
          </w:p>
        </w:tc>
        <w:tc>
          <w:tcPr>
            <w:tcW w:type="dxa" w:w="276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EQT</w:t>
            </w:r>
            <w:r>
              <w:rPr>
                <w:sz w:val="16"/>
              </w:rPr>
              <w:t xml:space="preserve"> (Appalachian gas), </w:t>
            </w:r>
            <w:r>
              <w:rPr>
                <w:b/>
                <w:sz w:val="16"/>
              </w:rPr>
              <w:t>Pertamina</w:t>
            </w:r>
            <w:r>
              <w:rPr>
                <w:sz w:val="16"/>
              </w:rPr>
              <w:t xml:space="preserve"> (Java geothermal), </w:t>
            </w:r>
            <w:r>
              <w:rPr>
                <w:b/>
                <w:sz w:val="16"/>
              </w:rPr>
              <w:t>TotalEnergies</w:t>
            </w:r>
            <w:r>
              <w:rPr>
                <w:sz w:val="16"/>
              </w:rPr>
              <w:t xml:space="preserve"> (Global power)</w:t>
            </w:r>
          </w:p>
        </w:tc>
        <w:tc>
          <w:tcPr>
            <w:tcW w:type="dxa" w:w="276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Executive "Two-Badge" session with Google Energy Procurement + Google Cloud</w:t>
            </w:r>
          </w:p>
        </w:tc>
        <w:tc>
          <w:tcPr>
            <w:tcW w:type="dxa" w:w="262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Unlocks $1B+ bilateral deal structures no competing hyperscaler can replicate</w:t>
            </w:r>
          </w:p>
        </w:tc>
      </w:tr>
    </w:tbl>
    <w:p>
      <w:pPr>
        <w:spacing w:before="40" w:after="120"/>
      </w:pPr>
    </w:p>
    <w:p>
      <w:pPr>
        <w:spacing w:before="80" w:after="80"/>
      </w:pPr>
    </w:p>
    <w:p>
      <w:pPr>
        <w:keepNext/>
        <w:spacing w:before="200" w:after="60"/>
      </w:pPr>
      <w:r>
        <w:rPr>
          <w:rFonts w:ascii="Arial" w:hAnsi="Arial"/>
          <w:b/>
          <w:color w:val="202124"/>
          <w:sz w:val="22"/>
        </w:rPr>
        <w:t>D.2 DeepMind Energy Lab: Engagement Tiers &amp; Research Verticals</w:t>
      </w:r>
    </w:p>
    <w:tbl>
      <w:tblPr>
        <w:tblW w:type="auto" w:w="0"/>
        <w:jc w:val="center"/>
        <w:tblLayout w:type="fixed"/>
        <w:tblLook w:firstColumn="1" w:firstRow="1" w:lastColumn="0" w:lastRow="0" w:noHBand="0" w:noVBand="1" w:val="04A0"/>
      </w:tblPr>
      <w:tblGrid>
        <w:gridCol w:w="2484"/>
        <w:gridCol w:w="2484"/>
        <w:gridCol w:w="2484"/>
        <w:gridCol w:w="2484"/>
      </w:tblGrid>
      <w:tr>
        <w:trPr>
          <w:tblHeader/>
          <w:cantSplit/>
        </w:trPr>
        <w:tc>
          <w:tcPr>
            <w:tcW w:type="dxa" w:w="193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Engagement Tier</w:t>
            </w:r>
          </w:p>
        </w:tc>
        <w:tc>
          <w:tcPr>
            <w:tcW w:type="dxa" w:w="207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Target Account Segment</w:t>
            </w:r>
          </w:p>
        </w:tc>
        <w:tc>
          <w:tcPr>
            <w:tcW w:type="dxa" w:w="317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Program Offering &amp; IP Rights</w:t>
            </w:r>
          </w:p>
        </w:tc>
        <w:tc>
          <w:tcPr>
            <w:tcW w:type="dxa" w:w="276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Core DeepMind Science Engine</w:t>
            </w:r>
          </w:p>
        </w:tc>
      </w:tr>
      <w:tr>
        <w:trPr>
          <w:cantSplit/>
        </w:trPr>
        <w:tc>
          <w:tcPr>
            <w:tcW w:type="dxa" w:w="193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Tier 1: Strategic Research Partners</w:t>
            </w:r>
          </w:p>
        </w:tc>
        <w:tc>
          <w:tcPr>
            <w:tcW w:type="dxa" w:w="207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Saudi Aramco, TotalEnergies, Oxy, Reliance (3–5 accounts)</w:t>
            </w:r>
          </w:p>
        </w:tc>
        <w:tc>
          <w:tcPr>
            <w:tcW w:type="dxa" w:w="31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$10–50M multi-year joint R&amp;D agreements; dedicated DeepMind research liaison; automated science lab access; co-authored papers; shared pre-competitive IP</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GNoME</w:t>
            </w:r>
            <w:r>
              <w:rPr>
                <w:sz w:val="16"/>
              </w:rPr>
              <w:t>: 2.2M materials discovery for CCUS solvents &amp; corrosion alloys</w:t>
            </w:r>
          </w:p>
          <w:p>
            <w:pPr>
              <w:spacing w:before="0" w:after="0" w:line="264" w:lineRule="auto"/>
            </w:pPr>
            <w:r>
              <w:rPr>
                <w:b/>
                <w:sz w:val="16"/>
              </w:rPr>
              <w:t>AlphaFold 3</w:t>
            </w:r>
            <w:r>
              <w:rPr>
                <w:sz w:val="16"/>
              </w:rPr>
              <w:t>: Molecular simulation for chemical catalysts</w:t>
            </w:r>
          </w:p>
        </w:tc>
      </w:tr>
      <w:tr>
        <w:trPr>
          <w:cantSplit/>
        </w:trPr>
        <w:tc>
          <w:tcPr>
            <w:tcW w:type="dxa" w:w="193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Tier 2: Applied Science Customers</w:t>
            </w:r>
          </w:p>
        </w:tc>
        <w:tc>
          <w:tcPr>
            <w:tcW w:type="dxa" w:w="207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Devon, Diamondback, Harbour, QatarEnergy, Inpex (10–15 accounts)</w:t>
            </w:r>
          </w:p>
        </w:tc>
        <w:tc>
          <w:tcPr>
            <w:tcW w:type="dxa" w:w="317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Managed DeepMind models on Vertex AI; GNoME Materials API; neural reservoir simulation service; standard commercial terms</w:t>
            </w:r>
          </w:p>
        </w:tc>
        <w:tc>
          <w:tcPr>
            <w:tcW w:type="dxa" w:w="276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TORAX</w:t>
            </w:r>
            <w:r>
              <w:rPr>
                <w:sz w:val="16"/>
              </w:rPr>
              <w:t>: Differentiable JAX-based proxy physics simulator (10,000× faster reservoir sim)</w:t>
            </w:r>
          </w:p>
        </w:tc>
      </w:tr>
      <w:tr>
        <w:trPr>
          <w:cantSplit/>
        </w:trPr>
        <w:tc>
          <w:tcPr>
            <w:tcW w:type="dxa" w:w="193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Tier 3: Ecosystem Enablement</w:t>
            </w:r>
          </w:p>
        </w:tc>
        <w:tc>
          <w:tcPr>
            <w:tcW w:type="dxa" w:w="207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Domain ISVs (SLB, Baker Hughes, Cognite) &amp; Accelerator Startups</w:t>
            </w:r>
          </w:p>
        </w:tc>
        <w:tc>
          <w:tcPr>
            <w:tcW w:type="dxa" w:w="317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DeepMind-derived APIs exposed through partner platforms (Petrel, Cordant, CDF)</w:t>
            </w:r>
          </w:p>
        </w:tc>
        <w:tc>
          <w:tcPr>
            <w:tcW w:type="dxa" w:w="276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AlphaEvolve</w:t>
            </w:r>
            <w:r>
              <w:rPr>
                <w:sz w:val="16"/>
              </w:rPr>
              <w:t>: Reinforcement learning algorithms for autonomous drilling control</w:t>
            </w:r>
          </w:p>
        </w:tc>
      </w:tr>
    </w:tbl>
    <w:p>
      <w:pPr>
        <w:spacing w:before="40" w:after="120"/>
      </w:pPr>
    </w:p>
    <w:p>
      <w:pPr>
        <w:spacing w:before="80" w:after="80"/>
      </w:pPr>
    </w:p>
    <w:p>
      <w:pPr>
        <w:keepNext/>
        <w:spacing w:before="200" w:after="60"/>
      </w:pPr>
      <w:r>
        <w:rPr>
          <w:rFonts w:ascii="Arial" w:hAnsi="Arial"/>
          <w:b/>
          <w:color w:val="202124"/>
          <w:sz w:val="22"/>
        </w:rPr>
        <w:t>D.3 CCUS Transformation Consortium Architectural Stack &amp; Financial Impact</w:t>
      </w:r>
    </w:p>
    <w:p>
      <w:pPr>
        <w:spacing w:before="40" w:after="80" w:line="276" w:lineRule="auto"/>
      </w:pPr>
      <w:r>
        <w:t xml:space="preserve">The table below outlines the direct capital commitments, cloud consumption potential, and leveraged enterprise pull-through unlocked by partnering with these three anchor consortiums </w:t>
      </w:r>
      <w:r>
        <w:rPr>
          <w:i/>
        </w:rPr>
        <w:t>(for full quantitative methodology, compute sizing breakdown across HPC, IoT, satellite, and AI agents, and realism sensitivity analysis, see Appendix A of the dedicated [CCUS Executive Strategy Briefing](https://github.com/MooseShel/90dayplan/blob/main/public/google_cloud_ccus_think_big_strategy.pdf))</w:t>
      </w:r>
      <w:r>
        <w:t>:</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cantSplit/>
        </w:trPr>
        <w:tc>
          <w:tcPr>
            <w:tcW w:type="dxa" w:w="149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Consortium Target</w:t>
            </w:r>
          </w:p>
        </w:tc>
        <w:tc>
          <w:tcPr>
            <w:tcW w:type="dxa" w:w="1490"/>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Geographic Region &amp; Scale</w:t>
            </w:r>
          </w:p>
        </w:tc>
        <w:tc>
          <w:tcPr>
            <w:tcW w:type="dxa" w:w="136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Operator Partners</w:t>
            </w:r>
          </w:p>
        </w:tc>
        <w:tc>
          <w:tcPr>
            <w:tcW w:type="dxa" w:w="869"/>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Total CapEx ($B)</w:t>
            </w:r>
          </w:p>
        </w:tc>
        <w:tc>
          <w:tcPr>
            <w:tcW w:type="dxa" w:w="1118"/>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Direct GCP Annual Cloud Spend ($M/yr) *</w:t>
            </w:r>
          </w:p>
        </w:tc>
        <w:tc>
          <w:tcPr>
            <w:tcW w:type="dxa" w:w="1118"/>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Leveraged Enterprise Pull-Through ($M) *</w:t>
            </w:r>
          </w:p>
        </w:tc>
        <w:tc>
          <w:tcPr>
            <w:tcW w:type="dxa" w:w="2484"/>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Google Cloud Architectural Stack &amp; Enterprise Impact</w:t>
            </w:r>
          </w:p>
        </w:tc>
      </w:tr>
      <w:tr>
        <w:trPr>
          <w:cantSplit/>
        </w:trPr>
        <w:tc>
          <w:tcPr>
            <w:tcW w:type="dxa" w:w="149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ExxonMobil Gulf Coast Hub</w:t>
            </w:r>
          </w:p>
        </w:tc>
        <w:tc>
          <w:tcPr>
            <w:tcW w:type="dxa" w:w="149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US Gulf Coast corridor (9 → 50+ MTPA, 1,500+ mi pipeline)</w:t>
            </w:r>
          </w:p>
        </w:tc>
        <w:tc>
          <w:tcPr>
            <w:tcW w:type="dxa" w:w="136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ExxonMobil Low Carbon Solutions, CF Industries, Nucor</w:t>
            </w:r>
          </w:p>
        </w:tc>
        <w:tc>
          <w:tcPr>
            <w:tcW w:type="dxa" w:w="869"/>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$12.0B+</w:t>
            </w:r>
          </w:p>
        </w:tc>
        <w:tc>
          <w:tcPr>
            <w:tcW w:type="dxa" w:w="111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$120M – $200M</w:t>
            </w:r>
          </w:p>
        </w:tc>
        <w:tc>
          <w:tcPr>
            <w:tcW w:type="dxa" w:w="111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$450M+</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SLB Sequestri on GCP + Gemini Pipeline Flow AI + Earth Engine MethaneSAT + BigQuery 45Q Billing. Trojan horse into ExxonMobil's enterprise cloud estate.</w:t>
            </w:r>
          </w:p>
        </w:tc>
      </w:tr>
      <w:tr>
        <w:trPr>
          <w:cantSplit/>
        </w:trPr>
        <w:tc>
          <w:tcPr>
            <w:tcW w:type="dxa" w:w="149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East Coast Cluster (ECC) / NEP</w:t>
            </w:r>
          </w:p>
        </w:tc>
        <w:tc>
          <w:tcPr>
            <w:tcW w:type="dxa" w:w="149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UK North Sea (4 → 23 MTPA by 2035; 1B tonnes storage)</w:t>
            </w:r>
          </w:p>
        </w:tc>
        <w:tc>
          <w:tcPr>
            <w:tcW w:type="dxa" w:w="136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BP, Equinor, TotalEnergies</w:t>
            </w:r>
          </w:p>
        </w:tc>
        <w:tc>
          <w:tcPr>
            <w:tcW w:type="dxa" w:w="869"/>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$25.0B+</w:t>
            </w:r>
            <w:r>
              <w:rPr>
                <w:sz w:val="16"/>
              </w:rPr>
              <w:t xml:space="preserve"> (£20B)</w:t>
            </w:r>
          </w:p>
        </w:tc>
        <w:tc>
          <w:tcPr>
            <w:tcW w:type="dxa" w:w="111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$150M – $250M</w:t>
            </w:r>
          </w:p>
        </w:tc>
        <w:tc>
          <w:tcPr>
            <w:tcW w:type="dxa" w:w="111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$800M+</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OSDU Shared Data Governance + SLB Sequestri + Earth Engine Marine Monitoring. Multi-operator wedge into BP, Equinor, and TotalEnergies.</w:t>
            </w:r>
          </w:p>
        </w:tc>
      </w:tr>
      <w:tr>
        <w:trPr>
          <w:cantSplit/>
        </w:trPr>
        <w:tc>
          <w:tcPr>
            <w:tcW w:type="dxa" w:w="149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Project Greensand</w:t>
            </w:r>
          </w:p>
        </w:tc>
        <w:tc>
          <w:tcPr>
            <w:tcW w:type="dxa" w:w="1490"/>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Denmark / EU (0.4 → 8 MTPA by 2030; EU first offshore storage)</w:t>
            </w:r>
          </w:p>
        </w:tc>
        <w:tc>
          <w:tcPr>
            <w:tcW w:type="dxa" w:w="136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INEOS Energy, Harbour Energy</w:t>
            </w:r>
          </w:p>
        </w:tc>
        <w:tc>
          <w:tcPr>
            <w:tcW w:type="dxa" w:w="869"/>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$3.8B</w:t>
            </w:r>
            <w:r>
              <w:rPr>
                <w:sz w:val="16"/>
              </w:rPr>
              <w:t xml:space="preserve"> (€3.5B)</w:t>
            </w:r>
          </w:p>
        </w:tc>
        <w:tc>
          <w:tcPr>
            <w:tcW w:type="dxa" w:w="111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$45M – $80M</w:t>
            </w:r>
          </w:p>
        </w:tc>
        <w:tc>
          <w:tcPr>
            <w:tcW w:type="dxa" w:w="111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$150M+</w:t>
            </w:r>
          </w:p>
        </w:tc>
        <w:tc>
          <w:tcPr>
            <w:tcW w:type="dxa" w:w="2484"/>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INEOS GCP Platform + Carbon Destroyer Shipping Optimization + EU CCS Compliance Agents. Reference blueprint for 30+ upcoming EU CCS hubs.</w:t>
            </w:r>
          </w:p>
        </w:tc>
      </w:tr>
      <w:tr>
        <w:trPr>
          <w:cantSplit/>
        </w:trPr>
        <w:tc>
          <w:tcPr>
            <w:tcW w:type="dxa" w:w="149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Consortium Total &amp; Leveraged Impact</w:t>
            </w:r>
          </w:p>
        </w:tc>
        <w:tc>
          <w:tcPr>
            <w:tcW w:type="dxa" w:w="1490"/>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36+ MTPA Combined CO₂ Storage Capacity</w:t>
            </w:r>
          </w:p>
        </w:tc>
        <w:tc>
          <w:tcPr>
            <w:tcW w:type="dxa" w:w="136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Multi-Operator Anchor JVs</w:t>
            </w:r>
          </w:p>
        </w:tc>
        <w:tc>
          <w:tcPr>
            <w:tcW w:type="dxa" w:w="869"/>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$40.8B+</w:t>
            </w:r>
          </w:p>
        </w:tc>
        <w:tc>
          <w:tcPr>
            <w:tcW w:type="dxa" w:w="111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$315M – $530M</w:t>
            </w:r>
          </w:p>
        </w:tc>
        <w:tc>
          <w:tcPr>
            <w:tcW w:type="dxa" w:w="111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$1,400M+</w:t>
            </w:r>
          </w:p>
        </w:tc>
        <w:tc>
          <w:tcPr>
            <w:tcW w:type="dxa" w:w="2484"/>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Captures 60%+ of global CCUS digital platform spend</w:t>
            </w:r>
            <w:r>
              <w:rPr>
                <w:sz w:val="16"/>
              </w:rPr>
              <w:t xml:space="preserve"> while creating massive pull-through revenue across parent company cloud IT budgets.</w:t>
            </w:r>
          </w:p>
        </w:tc>
      </w:tr>
    </w:tbl>
    <w:p>
      <w:pPr>
        <w:spacing w:before="40" w:after="120"/>
      </w:pPr>
    </w:p>
    <w:p>
      <w:pPr>
        <w:spacing w:before="40" w:after="80" w:line="276" w:lineRule="auto"/>
      </w:pPr>
      <w:r>
        <w:rPr>
          <w:i/>
        </w:rPr>
        <w:t>\</w:t>
      </w:r>
      <w:r>
        <w:t xml:space="preserve"> Note: Direct GCP spend targets represent peak buildout and full-stack adoption. Steady-state operational baselines across all 3 hubs range from $70M–$125M/yr (see Appendix A of the dedicated CCUS Strategy Document for detailed sensitivity analysis).*</w:t>
      </w:r>
    </w:p>
    <w:p>
      <w:pPr>
        <w:spacing w:before="80" w:after="80"/>
      </w:pPr>
    </w:p>
    <w:p>
      <w:pPr>
        <w:keepNext/>
        <w:spacing w:before="280" w:after="80"/>
        <w:pBdr>
          <w:bottom w:val="single" w:sz="6" w:space="3" w:color="DADCE0"/>
        </w:pBdr>
      </w:pPr>
      <w:r>
        <w:rPr>
          <w:rFonts w:ascii="Arial" w:hAnsi="Arial"/>
          <w:b/>
          <w:color w:val="174EA6"/>
          <w:sz w:val="26"/>
        </w:rPr>
        <w:t>Appendix E: GTM Operating Model &amp; Enablement Schedule</w:t>
      </w:r>
    </w:p>
    <w:p>
      <w:pPr>
        <w:keepNext/>
        <w:spacing w:before="200" w:after="60"/>
      </w:pPr>
      <w:r>
        <w:rPr>
          <w:rFonts w:ascii="Arial" w:hAnsi="Arial"/>
          <w:b/>
          <w:color w:val="202124"/>
          <w:sz w:val="22"/>
        </w:rPr>
        <w:t>E.1 90-Day Field Multiplier Metrics &amp; OKR Targets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3205"/>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Field Enablement Metric</w:t>
            </w:r>
          </w:p>
        </w:tc>
        <w:tc>
          <w:tcPr>
            <w:tcW w:type="dxa" w:w="96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Day 0 Baseline</w:t>
            </w:r>
          </w:p>
        </w:tc>
        <w:tc>
          <w:tcPr>
            <w:tcW w:type="dxa" w:w="96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Day 30 Target</w:t>
            </w:r>
          </w:p>
        </w:tc>
        <w:tc>
          <w:tcPr>
            <w:tcW w:type="dxa" w:w="96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Day 60 Target</w:t>
            </w:r>
          </w:p>
        </w:tc>
        <w:tc>
          <w:tcPr>
            <w:tcW w:type="dxa" w:w="962"/>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Day 90 Target</w:t>
            </w:r>
          </w:p>
        </w:tc>
        <w:tc>
          <w:tcPr>
            <w:tcW w:type="dxa" w:w="2885"/>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Operational Verification Mechanism</w:t>
            </w:r>
          </w:p>
        </w:tc>
      </w:tr>
      <w:tr>
        <w:trPr>
          <w:cantSplit/>
        </w:trPr>
        <w:tc>
          <w:tcPr>
            <w:tcW w:type="dxa" w:w="320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Sellers enabled with O&amp;G attack kits</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0</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25</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40</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50</w:t>
            </w:r>
          </w:p>
        </w:tc>
        <w:tc>
          <w:tcPr>
            <w:tcW w:type="dxa" w:w="288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Account Executive bootcamp completion records</w:t>
            </w:r>
          </w:p>
        </w:tc>
      </w:tr>
      <w:tr>
        <w:trPr>
          <w:cantSplit/>
        </w:trPr>
        <w:tc>
          <w:tcPr>
            <w:tcW w:type="dxa" w:w="320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Partner practitioners certified (GSIs)</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0</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10</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25</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40</w:t>
            </w:r>
          </w:p>
        </w:tc>
        <w:tc>
          <w:tcPr>
            <w:tcW w:type="dxa" w:w="288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EPAM &amp; Accenture certified SA badges</w:t>
            </w:r>
          </w:p>
        </w:tc>
      </w:tr>
      <w:tr>
        <w:trPr>
          <w:cantSplit/>
        </w:trPr>
        <w:tc>
          <w:tcPr>
            <w:tcW w:type="dxa" w:w="320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Active co-sell motions with ISVs</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0</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3</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8</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12</w:t>
            </w:r>
          </w:p>
        </w:tc>
        <w:tc>
          <w:tcPr>
            <w:tcW w:type="dxa" w:w="288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Joint pipeline tracker in Salesforce / CRM</w:t>
            </w:r>
          </w:p>
        </w:tc>
      </w:tr>
      <w:tr>
        <w:trPr>
          <w:cantSplit/>
        </w:trPr>
        <w:tc>
          <w:tcPr>
            <w:tcW w:type="dxa" w:w="320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PoC starter kits deployed to SAs</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0</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6</w:t>
            </w:r>
          </w:p>
        </w:tc>
        <w:tc>
          <w:tcPr>
            <w:tcW w:type="dxa" w:w="288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Deployed Vertex AI agent PoC sandbox environments</w:t>
            </w:r>
          </w:p>
        </w:tc>
      </w:tr>
      <w:tr>
        <w:trPr>
          <w:cantSplit/>
        </w:trPr>
        <w:tc>
          <w:tcPr>
            <w:tcW w:type="dxa" w:w="320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Demand-generation campaigns live</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0</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0</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w:t>
            </w:r>
          </w:p>
        </w:tc>
        <w:tc>
          <w:tcPr>
            <w:tcW w:type="dxa" w:w="288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ADIPEC &amp; CERAWeek campaign landing pages</w:t>
            </w:r>
          </w:p>
        </w:tc>
      </w:tr>
      <w:tr>
        <w:trPr>
          <w:cantSplit/>
        </w:trPr>
        <w:tc>
          <w:tcPr>
            <w:tcW w:type="dxa" w:w="320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Analyst &amp; media briefings completed</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0</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5</w:t>
            </w:r>
          </w:p>
        </w:tc>
        <w:tc>
          <w:tcPr>
            <w:tcW w:type="dxa" w:w="962"/>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8</w:t>
            </w:r>
          </w:p>
        </w:tc>
        <w:tc>
          <w:tcPr>
            <w:tcW w:type="dxa" w:w="288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Gartner, IDC, and SPE analyst briefing logs</w:t>
            </w:r>
          </w:p>
        </w:tc>
      </w:tr>
      <w:tr>
        <w:trPr>
          <w:cantSplit/>
        </w:trPr>
        <w:tc>
          <w:tcPr>
            <w:tcW w:type="dxa" w:w="320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Pipeline coverage ratio achieved</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1.2×</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2.0×</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3.0×</w:t>
            </w:r>
          </w:p>
        </w:tc>
        <w:tc>
          <w:tcPr>
            <w:tcW w:type="dxa" w:w="962"/>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4.0×</w:t>
            </w:r>
          </w:p>
        </w:tc>
        <w:tc>
          <w:tcPr>
            <w:tcW w:type="dxa" w:w="288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Scored pipeline coverage against $3.2B SOM target</w:t>
            </w:r>
          </w:p>
        </w:tc>
      </w:tr>
    </w:tbl>
    <w:p>
      <w:pPr>
        <w:spacing w:before="40" w:after="120"/>
      </w:pPr>
    </w:p>
    <w:p>
      <w:pPr>
        <w:spacing w:before="80" w:after="80"/>
      </w:pPr>
    </w:p>
    <w:p>
      <w:pPr>
        <w:keepNext/>
        <w:spacing w:before="200" w:after="60"/>
      </w:pPr>
      <w:r>
        <w:rPr>
          <w:rFonts w:ascii="Arial" w:hAnsi="Arial"/>
          <w:b/>
          <w:color w:val="202124"/>
          <w:sz w:val="22"/>
        </w:rPr>
        <w:t>E.2 Field Enablement Kit Registry &amp; Release Schedule</w:t>
      </w:r>
    </w:p>
    <w:tbl>
      <w:tblPr>
        <w:tblW w:type="auto" w:w="0"/>
        <w:jc w:val="center"/>
        <w:tblLayout w:type="fixed"/>
        <w:tblLook w:firstColumn="1" w:firstRow="1" w:lastColumn="0" w:lastRow="0" w:noHBand="0" w:noVBand="1" w:val="04A0"/>
      </w:tblPr>
      <w:tblGrid>
        <w:gridCol w:w="2484"/>
        <w:gridCol w:w="2484"/>
        <w:gridCol w:w="2484"/>
        <w:gridCol w:w="2484"/>
      </w:tblGrid>
      <w:tr>
        <w:trPr>
          <w:tblHeader/>
          <w:cantSplit/>
        </w:trPr>
        <w:tc>
          <w:tcPr>
            <w:tcW w:type="dxa" w:w="2108"/>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Kit Name</w:t>
            </w:r>
          </w:p>
        </w:tc>
        <w:tc>
          <w:tcPr>
            <w:tcW w:type="dxa" w:w="195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Target Audience</w:t>
            </w:r>
          </w:p>
        </w:tc>
        <w:tc>
          <w:tcPr>
            <w:tcW w:type="dxa" w:w="4065"/>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Primary Contents &amp; Deliverables</w:t>
            </w:r>
          </w:p>
        </w:tc>
        <w:tc>
          <w:tcPr>
            <w:tcW w:type="dxa" w:w="180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Release Phase &amp; Timeline</w:t>
            </w:r>
          </w:p>
        </w:tc>
      </w:tr>
      <w:tr>
        <w:trPr>
          <w:cantSplit/>
        </w:trPr>
        <w:tc>
          <w:tcPr>
            <w:tcW w:type="dxa" w:w="21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1. Account Attack Playbook</w:t>
            </w:r>
          </w:p>
        </w:tc>
        <w:tc>
          <w:tcPr>
            <w:tcW w:type="dxa" w:w="195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Account Executives</w:t>
            </w:r>
          </w:p>
        </w:tc>
        <w:tc>
          <w:tcPr>
            <w:tcW w:type="dxa" w:w="406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Scored account cards (33 accounts), competitive battlecards vs AWS/Azure, pricing calculators</w:t>
            </w:r>
          </w:p>
        </w:tc>
        <w:tc>
          <w:tcPr>
            <w:tcW w:type="dxa" w:w="18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Phase 1 (Days 1–30)</w:t>
            </w:r>
          </w:p>
        </w:tc>
      </w:tr>
      <w:tr>
        <w:trPr>
          <w:cantSplit/>
        </w:trPr>
        <w:tc>
          <w:tcPr>
            <w:tcW w:type="dxa" w:w="21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2. Agentic OSDU Battle Card</w:t>
            </w:r>
          </w:p>
        </w:tc>
        <w:tc>
          <w:tcPr>
            <w:tcW w:type="dxa" w:w="195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Sales &amp; Solutions Architects</w:t>
            </w:r>
          </w:p>
        </w:tc>
        <w:tc>
          <w:tcPr>
            <w:tcW w:type="dxa" w:w="406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1-pager: value prop, competitive kill points, customer proofs, objection handling matrix</w:t>
            </w:r>
          </w:p>
        </w:tc>
        <w:tc>
          <w:tcPr>
            <w:tcW w:type="dxa" w:w="180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Phase 1 (Days 1–30)</w:t>
            </w:r>
          </w:p>
        </w:tc>
      </w:tr>
      <w:tr>
        <w:trPr>
          <w:cantSplit/>
        </w:trPr>
        <w:tc>
          <w:tcPr>
            <w:tcW w:type="dxa" w:w="21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3. Multicloud Wedge Pitch Kit</w:t>
            </w:r>
          </w:p>
        </w:tc>
        <w:tc>
          <w:tcPr>
            <w:tcW w:type="dxa" w:w="195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Sales &amp; Business Dev</w:t>
            </w:r>
          </w:p>
        </w:tc>
        <w:tc>
          <w:tcPr>
            <w:tcW w:type="dxa" w:w="406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Fortress positioning deck, BigQuery Omni architecture, zero-migration messaging, demo script</w:t>
            </w:r>
          </w:p>
        </w:tc>
        <w:tc>
          <w:tcPr>
            <w:tcW w:type="dxa" w:w="18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Phase 1 (Days 15–45)</w:t>
            </w:r>
          </w:p>
        </w:tc>
      </w:tr>
      <w:tr>
        <w:trPr>
          <w:cantSplit/>
        </w:trPr>
        <w:tc>
          <w:tcPr>
            <w:tcW w:type="dxa" w:w="21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4. Sovereign NOC Decision Framework</w:t>
            </w:r>
          </w:p>
        </w:tc>
        <w:tc>
          <w:tcPr>
            <w:tcW w:type="dxa" w:w="195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Sales, Solutions &amp; BD</w:t>
            </w:r>
          </w:p>
        </w:tc>
        <w:tc>
          <w:tcPr>
            <w:tcW w:type="dxa" w:w="406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6-region sovereign playbook (Dammam/Doha/Jakarta/Bangkok/Tokyo/GDC), compliance matrix</w:t>
            </w:r>
          </w:p>
        </w:tc>
        <w:tc>
          <w:tcPr>
            <w:tcW w:type="dxa" w:w="180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Phase 2 (Days 30–60)</w:t>
            </w:r>
          </w:p>
        </w:tc>
      </w:tr>
      <w:tr>
        <w:trPr>
          <w:cantSplit/>
        </w:trPr>
        <w:tc>
          <w:tcPr>
            <w:tcW w:type="dxa" w:w="21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5. Partner Co-Sell Playbook</w:t>
            </w:r>
          </w:p>
        </w:tc>
        <w:tc>
          <w:tcPr>
            <w:tcW w:type="dxa" w:w="195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BD &amp; Partner Managers</w:t>
            </w:r>
          </w:p>
        </w:tc>
        <w:tc>
          <w:tcPr>
            <w:tcW w:type="dxa" w:w="406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ISV co-sell guides (Cognite, SLB, Baker Hughes, Kongsberg), GSI certification paths</w:t>
            </w:r>
          </w:p>
        </w:tc>
        <w:tc>
          <w:tcPr>
            <w:tcW w:type="dxa" w:w="18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Phase 2 (Days 30–60)</w:t>
            </w:r>
          </w:p>
        </w:tc>
      </w:tr>
      <w:tr>
        <w:trPr>
          <w:cantSplit/>
        </w:trPr>
        <w:tc>
          <w:tcPr>
            <w:tcW w:type="dxa" w:w="21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6. ADIPEC Event Playbook</w:t>
            </w:r>
          </w:p>
        </w:tc>
        <w:tc>
          <w:tcPr>
            <w:tcW w:type="dxa" w:w="195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GTM, Sales &amp; Execs</w:t>
            </w:r>
          </w:p>
        </w:tc>
        <w:tc>
          <w:tcPr>
            <w:tcW w:type="dxa" w:w="406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Demo scripts, customer meeting guides, booth strategy, executive briefing schedule</w:t>
            </w:r>
          </w:p>
        </w:tc>
        <w:tc>
          <w:tcPr>
            <w:tcW w:type="dxa" w:w="180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Phase 2 (Days 45–75)</w:t>
            </w:r>
          </w:p>
        </w:tc>
      </w:tr>
      <w:tr>
        <w:trPr>
          <w:cantSplit/>
        </w:trPr>
        <w:tc>
          <w:tcPr>
            <w:tcW w:type="dxa" w:w="21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7. HPC &amp; Seismic Win Kit</w:t>
            </w:r>
          </w:p>
        </w:tc>
        <w:tc>
          <w:tcPr>
            <w:tcW w:type="dxa" w:w="195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Solutions &amp; Sales</w:t>
            </w:r>
          </w:p>
        </w:tc>
        <w:tc>
          <w:tcPr>
            <w:tcW w:type="dxa" w:w="406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TGS win-back case study, Parallelstore DAOS benchmarks, GPU/TPU capacity SLAs</w:t>
            </w:r>
          </w:p>
        </w:tc>
        <w:tc>
          <w:tcPr>
            <w:tcW w:type="dxa" w:w="18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Phase 2 (Days 30–60)</w:t>
            </w:r>
          </w:p>
        </w:tc>
      </w:tr>
      <w:tr>
        <w:trPr>
          <w:cantSplit/>
        </w:trPr>
        <w:tc>
          <w:tcPr>
            <w:tcW w:type="dxa" w:w="210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8. Industry Foundation Models Kit</w:t>
            </w:r>
          </w:p>
        </w:tc>
        <w:tc>
          <w:tcPr>
            <w:tcW w:type="dxa" w:w="195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Sales &amp; Solutions</w:t>
            </w:r>
          </w:p>
        </w:tc>
        <w:tc>
          <w:tcPr>
            <w:tcW w:type="dxa" w:w="406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FM architecture overview, ISV dataset contributions, operator deployment playbook</w:t>
            </w:r>
          </w:p>
        </w:tc>
        <w:tc>
          <w:tcPr>
            <w:tcW w:type="dxa" w:w="180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Phase 2 (Days 30–60)</w:t>
            </w:r>
          </w:p>
        </w:tc>
      </w:tr>
      <w:tr>
        <w:trPr>
          <w:cantSplit/>
        </w:trPr>
        <w:tc>
          <w:tcPr>
            <w:tcW w:type="dxa" w:w="210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9. Startup &amp; HUMAIN AI Kit</w:t>
            </w:r>
          </w:p>
        </w:tc>
        <w:tc>
          <w:tcPr>
            <w:tcW w:type="dxa" w:w="195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BD &amp; Sales</w:t>
            </w:r>
          </w:p>
        </w:tc>
        <w:tc>
          <w:tcPr>
            <w:tcW w:type="dxa" w:w="406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Google for Startups Cloud Program details ($200k credits), HUMAIN AI KSA sovereign positioning</w:t>
            </w:r>
          </w:p>
        </w:tc>
        <w:tc>
          <w:tcPr>
            <w:tcW w:type="dxa" w:w="18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Phase 2 (Days 30–60)</w:t>
            </w:r>
          </w:p>
        </w:tc>
      </w:tr>
    </w:tbl>
    <w:p>
      <w:pPr>
        <w:spacing w:before="40" w:after="120"/>
      </w:pPr>
    </w:p>
    <w:p>
      <w:pPr>
        <w:spacing w:before="80" w:after="80"/>
      </w:pPr>
    </w:p>
    <w:p>
      <w:pPr>
        <w:keepNext/>
        <w:spacing w:before="280" w:after="80"/>
        <w:pBdr>
          <w:bottom w:val="single" w:sz="6" w:space="3" w:color="DADCE0"/>
        </w:pBdr>
      </w:pPr>
      <w:r>
        <w:rPr>
          <w:rFonts w:ascii="Arial" w:hAnsi="Arial"/>
          <w:b/>
          <w:color w:val="174EA6"/>
          <w:sz w:val="26"/>
        </w:rPr>
        <w:t>Appendix F: Sourced Literature &amp; Institutional References</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cantSplit/>
        </w:trPr>
        <w:tc>
          <w:tcPr>
            <w:tcW w:type="dxa" w:w="915"/>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Ref ID</w:t>
            </w:r>
          </w:p>
        </w:tc>
        <w:tc>
          <w:tcPr>
            <w:tcW w:type="dxa" w:w="1961"/>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Institutional Source &amp; Publication</w:t>
            </w:r>
          </w:p>
        </w:tc>
        <w:tc>
          <w:tcPr>
            <w:tcW w:type="dxa" w:w="1438"/>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Live &amp; Time Machine Archive Links</w:t>
            </w:r>
          </w:p>
        </w:tc>
        <w:tc>
          <w:tcPr>
            <w:tcW w:type="dxa" w:w="1046"/>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Local HTML Source Reader</w:t>
            </w:r>
          </w:p>
        </w:tc>
        <w:tc>
          <w:tcPr>
            <w:tcW w:type="dxa" w:w="915"/>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Local Markdown Copy</w:t>
            </w:r>
          </w:p>
        </w:tc>
        <w:tc>
          <w:tcPr>
            <w:tcW w:type="dxa" w:w="2353"/>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Primary Benchmark &amp; Data Derived</w:t>
            </w:r>
          </w:p>
        </w:tc>
        <w:tc>
          <w:tcPr>
            <w:tcW w:type="dxa" w:w="1307"/>
            <w:shd w:fill="1A73E8"/>
            <w:tcMar>
              <w:top w:w="90" w:type="dxa"/>
              <w:bottom w:w="90" w:type="dxa"/>
              <w:left w:w="100" w:type="dxa"/>
              <w:right w:w="100" w:type="dxa"/>
            </w:tcMar>
            <w:tcBorders>
              <w:top w:val="single" w:sz="6" w:space="0" w:color="1A73E8"/>
              <w:bottom w:val="single" w:sz="12" w:space="0" w:color="174EA6"/>
              <w:left w:val="single" w:sz="4" w:space="0" w:color="DADCE0"/>
              <w:right w:val="single" w:sz="4" w:space="0" w:color="DADCE0"/>
            </w:tcBorders>
          </w:tcPr>
          <w:p>
            <w:pPr>
              <w:spacing w:before="0" w:after="0"/>
              <w:jc w:val="left"/>
            </w:pPr>
            <w:r>
              <w:rPr>
                <w:b/>
                <w:color w:val="FFFFFF"/>
                <w:sz w:val="17"/>
              </w:rPr>
              <w:t>Document Narrative Citation</w:t>
            </w:r>
          </w:p>
        </w:tc>
      </w:tr>
      <w:tr>
        <w:trPr>
          <w:cantSplit/>
        </w:trPr>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[REF-01]</w:t>
            </w:r>
          </w:p>
        </w:tc>
        <w:tc>
          <w:tcPr>
            <w:tcW w:type="dxa" w:w="19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International Energy Agency (IEA)</w:t>
            </w:r>
          </w:p>
          <w:p>
            <w:pPr>
              <w:spacing w:before="0" w:after="0" w:line="264" w:lineRule="auto"/>
            </w:pPr>
            <w:r>
              <w:rPr>
                <w:sz w:val="16"/>
              </w:rPr>
              <w:t>World Energy Outlook 2025</w:t>
            </w:r>
          </w:p>
        </w:tc>
        <w:tc>
          <w:tcPr>
            <w:tcW w:type="dxa" w:w="143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Site</w:t>
            </w:r>
          </w:p>
          <w:p>
            <w:pPr>
              <w:spacing w:before="0" w:after="0" w:line="264" w:lineRule="auto"/>
            </w:pPr>
            <w:r>
              <w:rPr>
                <w:color w:val="174EA6"/>
                <w:sz w:val="16"/>
                <w:u w:val="single"/>
              </w:rPr>
              <w:t>Wayback Time Machine Archive</w:t>
            </w:r>
          </w:p>
        </w:tc>
        <w:tc>
          <w:tcPr>
            <w:tcW w:type="dxa" w:w="10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Global O&amp;G sector $4.9T annual revenue benchmark; clean energy CapEx ratios; energy transition supply-demand curves</w:t>
            </w:r>
          </w:p>
        </w:tc>
        <w:tc>
          <w:tcPr>
            <w:tcW w:type="dxa" w:w="13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Executive Summary, Part 1.1</w:t>
            </w:r>
          </w:p>
        </w:tc>
      </w:tr>
      <w:tr>
        <w:trPr>
          <w:cantSplit/>
        </w:trPr>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[REF-02]</w:t>
            </w:r>
          </w:p>
        </w:tc>
        <w:tc>
          <w:tcPr>
            <w:tcW w:type="dxa" w:w="196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Gartner Research</w:t>
            </w:r>
          </w:p>
          <w:p>
            <w:pPr>
              <w:spacing w:before="0" w:after="0" w:line="264" w:lineRule="auto"/>
            </w:pPr>
            <w:r>
              <w:rPr>
                <w:sz w:val="16"/>
              </w:rPr>
              <w:t>IT Spending Forecast &amp; Cloud Share Q2 2025</w:t>
            </w:r>
          </w:p>
        </w:tc>
        <w:tc>
          <w:tcPr>
            <w:tcW w:type="dxa" w:w="143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Press Release</w:t>
            </w:r>
          </w:p>
          <w:p>
            <w:pPr>
              <w:spacing w:before="0" w:after="0" w:line="264" w:lineRule="auto"/>
            </w:pPr>
            <w:r>
              <w:rPr>
                <w:color w:val="174EA6"/>
                <w:sz w:val="16"/>
                <w:u w:val="single"/>
              </w:rPr>
              <w:t>Wayback Time Machine Archive</w:t>
            </w:r>
          </w:p>
        </w:tc>
        <w:tc>
          <w:tcPr>
            <w:tcW w:type="dxa" w:w="10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Energy vertical annual IT expenditure ($44B); O&amp;G public cloud adoption rate (~18%); hyperscaler vertical share breakdown</w:t>
            </w:r>
          </w:p>
        </w:tc>
        <w:tc>
          <w:tcPr>
            <w:tcW w:type="dxa" w:w="130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Executive Summary, Part 1.1, Part 1.5</w:t>
            </w:r>
          </w:p>
        </w:tc>
      </w:tr>
      <w:tr>
        <w:trPr>
          <w:cantSplit/>
        </w:trPr>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[REF-03]</w:t>
            </w:r>
          </w:p>
        </w:tc>
        <w:tc>
          <w:tcPr>
            <w:tcW w:type="dxa" w:w="19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IDC Research</w:t>
            </w:r>
          </w:p>
          <w:p>
            <w:pPr>
              <w:spacing w:before="0" w:after="0" w:line="264" w:lineRule="auto"/>
            </w:pPr>
            <w:r>
              <w:rPr>
                <w:sz w:val="16"/>
              </w:rPr>
              <w:t>Worldwide Industry Cloud Tracker 2025</w:t>
            </w:r>
          </w:p>
        </w:tc>
        <w:tc>
          <w:tcPr>
            <w:tcW w:type="dxa" w:w="143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Site</w:t>
            </w:r>
          </w:p>
          <w:p>
            <w:pPr>
              <w:spacing w:before="0" w:after="0" w:line="264" w:lineRule="auto"/>
            </w:pPr>
            <w:r>
              <w:rPr>
                <w:color w:val="174EA6"/>
                <w:sz w:val="16"/>
                <w:u w:val="single"/>
              </w:rPr>
              <w:t>Wayback Time Machine Archive</w:t>
            </w:r>
          </w:p>
        </w:tc>
        <w:tc>
          <w:tcPr>
            <w:tcW w:type="dxa" w:w="10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Upstream, midstream, and downstream vertical cloud market sizing ($21B TAM by 2028); hyperscaler market share distribution</w:t>
            </w:r>
          </w:p>
        </w:tc>
        <w:tc>
          <w:tcPr>
            <w:tcW w:type="dxa" w:w="13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Executive Summary, Part 1.3, Part 1.4</w:t>
            </w:r>
          </w:p>
        </w:tc>
      </w:tr>
      <w:tr>
        <w:trPr>
          <w:cantSplit/>
        </w:trPr>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[REF-04]</w:t>
            </w:r>
          </w:p>
        </w:tc>
        <w:tc>
          <w:tcPr>
            <w:tcW w:type="dxa" w:w="196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Precedence Research</w:t>
            </w:r>
          </w:p>
          <w:p>
            <w:pPr>
              <w:spacing w:before="0" w:after="0" w:line="264" w:lineRule="auto"/>
            </w:pPr>
            <w:r>
              <w:rPr>
                <w:sz w:val="16"/>
              </w:rPr>
              <w:t>Artificial Intelligence in Oil &amp; Gas Market</w:t>
            </w:r>
          </w:p>
        </w:tc>
        <w:tc>
          <w:tcPr>
            <w:tcW w:type="dxa" w:w="143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Site</w:t>
            </w:r>
          </w:p>
          <w:p>
            <w:pPr>
              <w:spacing w:before="0" w:after="0" w:line="264" w:lineRule="auto"/>
            </w:pPr>
            <w:r>
              <w:rPr>
                <w:color w:val="174EA6"/>
                <w:sz w:val="16"/>
                <w:u w:val="single"/>
              </w:rPr>
              <w:t>Wayback Time Machine Archive</w:t>
            </w:r>
          </w:p>
        </w:tc>
        <w:tc>
          <w:tcPr>
            <w:tcW w:type="dxa" w:w="10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AI &amp; ML in O&amp;G market growth projections ($5.4B in 2024 to $18.7B by 2035 at 13% CAGR)</w:t>
            </w:r>
          </w:p>
        </w:tc>
        <w:tc>
          <w:tcPr>
            <w:tcW w:type="dxa" w:w="130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Part 1.1</w:t>
            </w:r>
          </w:p>
        </w:tc>
      </w:tr>
      <w:tr>
        <w:trPr>
          <w:cantSplit/>
        </w:trPr>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[REF-05]</w:t>
            </w:r>
          </w:p>
        </w:tc>
        <w:tc>
          <w:tcPr>
            <w:tcW w:type="dxa" w:w="19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MarketsandMarkets</w:t>
            </w:r>
          </w:p>
          <w:p>
            <w:pPr>
              <w:spacing w:before="0" w:after="0" w:line="264" w:lineRule="auto"/>
            </w:pPr>
            <w:r>
              <w:rPr>
                <w:sz w:val="16"/>
              </w:rPr>
              <w:t>Digital Oilfield Solutions Market Report</w:t>
            </w:r>
          </w:p>
        </w:tc>
        <w:tc>
          <w:tcPr>
            <w:tcW w:type="dxa" w:w="143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Report Search</w:t>
            </w:r>
          </w:p>
          <w:p>
            <w:pPr>
              <w:spacing w:before="0" w:after="0" w:line="264" w:lineRule="auto"/>
            </w:pPr>
            <w:r>
              <w:rPr>
                <w:color w:val="174EA6"/>
                <w:sz w:val="16"/>
                <w:u w:val="single"/>
              </w:rPr>
              <w:t>Wayback Time Machine Archive</w:t>
            </w:r>
          </w:p>
        </w:tc>
        <w:tc>
          <w:tcPr>
            <w:tcW w:type="dxa" w:w="10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Digital oilfield solutions market forecast ($37B in 2024 to $43B by 2029)</w:t>
            </w:r>
          </w:p>
        </w:tc>
        <w:tc>
          <w:tcPr>
            <w:tcW w:type="dxa" w:w="13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Part 1.1</w:t>
            </w:r>
          </w:p>
        </w:tc>
      </w:tr>
      <w:tr>
        <w:trPr>
          <w:cantSplit/>
        </w:trPr>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[REF-06]</w:t>
            </w:r>
          </w:p>
        </w:tc>
        <w:tc>
          <w:tcPr>
            <w:tcW w:type="dxa" w:w="196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Global CCS Institute</w:t>
            </w:r>
          </w:p>
          <w:p>
            <w:pPr>
              <w:spacing w:before="0" w:after="0" w:line="264" w:lineRule="auto"/>
            </w:pPr>
            <w:r>
              <w:rPr>
                <w:sz w:val="16"/>
              </w:rPr>
              <w:t>Global Status of CCS Report 2025</w:t>
            </w:r>
          </w:p>
        </w:tc>
        <w:tc>
          <w:tcPr>
            <w:tcW w:type="dxa" w:w="143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Site</w:t>
            </w:r>
          </w:p>
          <w:p>
            <w:pPr>
              <w:spacing w:before="0" w:after="0" w:line="264" w:lineRule="auto"/>
            </w:pPr>
            <w:r>
              <w:rPr>
                <w:color w:val="174EA6"/>
                <w:sz w:val="16"/>
                <w:u w:val="single"/>
              </w:rPr>
              <w:t>Wayback Time Machine Archive</w:t>
            </w:r>
          </w:p>
        </w:tc>
        <w:tc>
          <w:tcPr>
            <w:tcW w:type="dxa" w:w="10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Global CCUS facility count (77 active, 47 under construction); $5B+ annual investment pipeline; project capacity benchmarks</w:t>
            </w:r>
          </w:p>
        </w:tc>
        <w:tc>
          <w:tcPr>
            <w:tcW w:type="dxa" w:w="130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Part 1.1, Part 1.2, Appendix D.3</w:t>
            </w:r>
          </w:p>
        </w:tc>
      </w:tr>
      <w:tr>
        <w:trPr>
          <w:cantSplit/>
        </w:trPr>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[REF-07]</w:t>
            </w:r>
          </w:p>
        </w:tc>
        <w:tc>
          <w:tcPr>
            <w:tcW w:type="dxa" w:w="19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Society of Petroleum Engineers (SPE)</w:t>
            </w:r>
          </w:p>
          <w:p>
            <w:pPr>
              <w:spacing w:before="0" w:after="0" w:line="264" w:lineRule="auto"/>
            </w:pPr>
            <w:r>
              <w:rPr>
                <w:sz w:val="16"/>
              </w:rPr>
              <w:t>Journal of Petroleum Technology &amp; Surveys</w:t>
            </w:r>
          </w:p>
        </w:tc>
        <w:tc>
          <w:tcPr>
            <w:tcW w:type="dxa" w:w="143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Site</w:t>
            </w:r>
          </w:p>
          <w:p>
            <w:pPr>
              <w:spacing w:before="0" w:after="0" w:line="264" w:lineRule="auto"/>
            </w:pPr>
            <w:r>
              <w:rPr>
                <w:color w:val="174EA6"/>
                <w:sz w:val="16"/>
                <w:u w:val="single"/>
              </w:rPr>
              <w:t>Wayback Time Machine Archive</w:t>
            </w:r>
          </w:p>
        </w:tc>
        <w:tc>
          <w:tcPr>
            <w:tcW w:type="dxa" w:w="10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Upstream geoscience demographics (avg age &gt;50; 2030 retirement cliff); SPE Digital Energy Conference data fragmentation metrics</w:t>
            </w:r>
          </w:p>
        </w:tc>
        <w:tc>
          <w:tcPr>
            <w:tcW w:type="dxa" w:w="13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Part 1.2, Appendix A.3</w:t>
            </w:r>
          </w:p>
        </w:tc>
      </w:tr>
      <w:tr>
        <w:trPr>
          <w:cantSplit/>
        </w:trPr>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[REF-08]</w:t>
            </w:r>
          </w:p>
        </w:tc>
        <w:tc>
          <w:tcPr>
            <w:tcW w:type="dxa" w:w="196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Saudi National Cybersecurity Authority (NCA)</w:t>
            </w:r>
          </w:p>
          <w:p>
            <w:pPr>
              <w:spacing w:before="0" w:after="0" w:line="264" w:lineRule="auto"/>
            </w:pPr>
            <w:r>
              <w:rPr>
                <w:sz w:val="16"/>
              </w:rPr>
              <w:t>Essential Cybersecurity Controls &amp; CST Directives</w:t>
            </w:r>
          </w:p>
        </w:tc>
        <w:tc>
          <w:tcPr>
            <w:tcW w:type="dxa" w:w="143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Site</w:t>
            </w:r>
          </w:p>
          <w:p>
            <w:pPr>
              <w:spacing w:before="0" w:after="0" w:line="264" w:lineRule="auto"/>
            </w:pPr>
            <w:r>
              <w:rPr>
                <w:color w:val="174EA6"/>
                <w:sz w:val="16"/>
                <w:u w:val="single"/>
              </w:rPr>
              <w:t>Wayback Time Machine Archive</w:t>
            </w:r>
          </w:p>
        </w:tc>
        <w:tc>
          <w:tcPr>
            <w:tcW w:type="dxa" w:w="10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KSA Class C data residency requirements; CST sovereign cloud compliance; External Key Management mandates</w:t>
            </w:r>
          </w:p>
        </w:tc>
        <w:tc>
          <w:tcPr>
            <w:tcW w:type="dxa" w:w="130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Part 1.2, Appendix C.3</w:t>
            </w:r>
          </w:p>
        </w:tc>
      </w:tr>
      <w:tr>
        <w:trPr>
          <w:cantSplit/>
        </w:trPr>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[REF-09]</w:t>
            </w:r>
          </w:p>
        </w:tc>
        <w:tc>
          <w:tcPr>
            <w:tcW w:type="dxa" w:w="19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Everest Group</w:t>
            </w:r>
          </w:p>
          <w:p>
            <w:pPr>
              <w:spacing w:before="0" w:after="0" w:line="264" w:lineRule="auto"/>
            </w:pPr>
            <w:r>
              <w:rPr>
                <w:sz w:val="16"/>
              </w:rPr>
              <w:t>Energy Cloud &amp; GSI Accreditation Analysis 2025</w:t>
            </w:r>
          </w:p>
        </w:tc>
        <w:tc>
          <w:tcPr>
            <w:tcW w:type="dxa" w:w="143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Site</w:t>
            </w:r>
          </w:p>
          <w:p>
            <w:pPr>
              <w:spacing w:before="0" w:after="0" w:line="264" w:lineRule="auto"/>
            </w:pPr>
            <w:r>
              <w:rPr>
                <w:color w:val="174EA6"/>
                <w:sz w:val="16"/>
                <w:u w:val="single"/>
              </w:rPr>
              <w:t>Wayback Time Machine Archive</w:t>
            </w:r>
          </w:p>
        </w:tc>
        <w:tc>
          <w:tcPr>
            <w:tcW w:type="dxa" w:w="10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Hyperscaler competitiveness in energy vertical; GSI accreditation standards; multicloud wedge effectiveness</w:t>
            </w:r>
          </w:p>
        </w:tc>
        <w:tc>
          <w:tcPr>
            <w:tcW w:type="dxa" w:w="13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Part 1.4, Appendix B.1</w:t>
            </w:r>
          </w:p>
        </w:tc>
      </w:tr>
      <w:tr>
        <w:trPr>
          <w:cantSplit/>
        </w:trPr>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[REF-10]</w:t>
            </w:r>
          </w:p>
        </w:tc>
        <w:tc>
          <w:tcPr>
            <w:tcW w:type="dxa" w:w="196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International Energy Agency (IEA)</w:t>
            </w:r>
          </w:p>
          <w:p>
            <w:pPr>
              <w:spacing w:before="0" w:after="0" w:line="264" w:lineRule="auto"/>
            </w:pPr>
            <w:r>
              <w:rPr>
                <w:sz w:val="16"/>
              </w:rPr>
              <w:t>Electricity 2024 Analysis &amp; Forecast</w:t>
            </w:r>
          </w:p>
        </w:tc>
        <w:tc>
          <w:tcPr>
            <w:tcW w:type="dxa" w:w="143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Site</w:t>
            </w:r>
          </w:p>
          <w:p>
            <w:pPr>
              <w:spacing w:before="0" w:after="0" w:line="264" w:lineRule="auto"/>
            </w:pPr>
            <w:r>
              <w:rPr>
                <w:color w:val="174EA6"/>
                <w:sz w:val="16"/>
                <w:u w:val="single"/>
              </w:rPr>
              <w:t>Wayback Time Machine Archive</w:t>
            </w:r>
          </w:p>
        </w:tc>
        <w:tc>
          <w:tcPr>
            <w:tcW w:type="dxa" w:w="10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Global data center power demand growth; grid capacity constraints; energy operator power-for-AI alignment</w:t>
            </w:r>
          </w:p>
        </w:tc>
        <w:tc>
          <w:tcPr>
            <w:tcW w:type="dxa" w:w="130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Part 1.2, Appendix D.1</w:t>
            </w:r>
          </w:p>
        </w:tc>
      </w:tr>
      <w:tr>
        <w:trPr>
          <w:cantSplit/>
        </w:trPr>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[REF-11]</w:t>
            </w:r>
          </w:p>
        </w:tc>
        <w:tc>
          <w:tcPr>
            <w:tcW w:type="dxa" w:w="1961"/>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IPCC</w:t>
            </w:r>
          </w:p>
          <w:p>
            <w:pPr>
              <w:spacing w:before="0" w:after="0" w:line="264" w:lineRule="auto"/>
            </w:pPr>
            <w:r>
              <w:rPr>
                <w:sz w:val="16"/>
              </w:rPr>
              <w:t>Special Report on CCS &amp; Climate Change</w:t>
            </w:r>
          </w:p>
        </w:tc>
        <w:tc>
          <w:tcPr>
            <w:tcW w:type="dxa" w:w="1438"/>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Site</w:t>
            </w:r>
          </w:p>
          <w:p>
            <w:pPr>
              <w:spacing w:before="0" w:after="0" w:line="264" w:lineRule="auto"/>
            </w:pPr>
            <w:r>
              <w:rPr>
                <w:color w:val="174EA6"/>
                <w:sz w:val="16"/>
                <w:u w:val="single"/>
              </w:rPr>
              <w:t>Wayback Time Machine Archive</w:t>
            </w:r>
          </w:p>
        </w:tc>
        <w:tc>
          <w:tcPr>
            <w:tcW w:type="dxa" w:w="1046"/>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Subsurface CO2 retention integrity (&gt;99% retained over 1,000 years); 4D seismic monitoring requirements</w:t>
            </w:r>
          </w:p>
        </w:tc>
        <w:tc>
          <w:tcPr>
            <w:tcW w:type="dxa" w:w="1307"/>
            <w:shd w:fill="FFFFFF"/>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CCUS Appendix</w:t>
            </w:r>
          </w:p>
        </w:tc>
      </w:tr>
      <w:tr>
        <w:trPr>
          <w:cantSplit/>
        </w:trPr>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[REF-12]</w:t>
            </w:r>
          </w:p>
        </w:tc>
        <w:tc>
          <w:tcPr>
            <w:tcW w:type="dxa" w:w="1961"/>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b/>
                <w:sz w:val="16"/>
              </w:rPr>
              <w:t>McKinsey &amp; Company</w:t>
            </w:r>
          </w:p>
          <w:p>
            <w:pPr>
              <w:spacing w:before="0" w:after="0" w:line="264" w:lineRule="auto"/>
            </w:pPr>
            <w:r>
              <w:rPr>
                <w:sz w:val="16"/>
              </w:rPr>
              <w:t>Energy Insights &amp; Capital Discipline 2025</w:t>
            </w:r>
          </w:p>
        </w:tc>
        <w:tc>
          <w:tcPr>
            <w:tcW w:type="dxa" w:w="1438"/>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Live Site</w:t>
            </w:r>
          </w:p>
          <w:p>
            <w:pPr>
              <w:spacing w:before="0" w:after="0" w:line="264" w:lineRule="auto"/>
            </w:pPr>
            <w:r>
              <w:rPr>
                <w:color w:val="174EA6"/>
                <w:sz w:val="16"/>
                <w:u w:val="single"/>
              </w:rPr>
              <w:t>Wayback Time Machine Archive</w:t>
            </w:r>
          </w:p>
        </w:tc>
        <w:tc>
          <w:tcPr>
            <w:tcW w:type="dxa" w:w="1046"/>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View HTML Reader</w:t>
            </w:r>
          </w:p>
        </w:tc>
        <w:tc>
          <w:tcPr>
            <w:tcW w:type="dxa" w:w="915"/>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color w:val="174EA6"/>
                <w:sz w:val="16"/>
                <w:u w:val="single"/>
              </w:rPr>
              <w:t>📝 Markdown</w:t>
            </w:r>
          </w:p>
        </w:tc>
        <w:tc>
          <w:tcPr>
            <w:tcW w:type="dxa" w:w="2353"/>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Upstream Non-Productive Time (NPT) reduction (15-25%) via AI; capital discipline payback horizons</w:t>
            </w:r>
          </w:p>
        </w:tc>
        <w:tc>
          <w:tcPr>
            <w:tcW w:type="dxa" w:w="1307"/>
            <w:shd w:fill="F8F9FA"/>
            <w:tcMar>
              <w:top w:w="70" w:type="dxa"/>
              <w:bottom w:w="70" w:type="dxa"/>
              <w:left w:w="90" w:type="dxa"/>
              <w:right w:w="90" w:type="dxa"/>
            </w:tcMar>
            <w:tcBorders>
              <w:top w:val="single" w:sz="4" w:space="0" w:color="E8EAED"/>
              <w:bottom w:val="single" w:sz="4" w:space="0" w:color="E8EAED"/>
              <w:left w:val="single" w:sz="4" w:space="0" w:color="E8EAED"/>
              <w:right w:val="single" w:sz="4" w:space="0" w:color="E8EAED"/>
            </w:tcBorders>
          </w:tcPr>
          <w:p>
            <w:pPr>
              <w:spacing w:before="0" w:after="0" w:line="264" w:lineRule="auto"/>
              <w:jc w:val="left"/>
            </w:pPr>
            <w:r>
              <w:rPr>
                <w:sz w:val="16"/>
              </w:rPr>
              <w:t>Part 1.2</w:t>
            </w:r>
          </w:p>
        </w:tc>
      </w:tr>
    </w:tbl>
    <w:p>
      <w:pPr>
        <w:spacing w:before="40" w:after="120"/>
      </w:pPr>
    </w:p>
    <w:p>
      <w:pPr>
        <w:spacing w:before="80" w:after="80"/>
      </w:pPr>
    </w:p>
    <w:p>
      <w:pPr>
        <w:spacing w:before="40" w:after="80" w:line="276" w:lineRule="auto"/>
      </w:pPr>
      <w:r>
        <w:rPr>
          <w:i/>
        </w:rPr>
        <w:t>This document is intended for strategic planning purposes only. All citations, verified local HTML readers, and permanent time machine archive mirrors are cataloged in Appendix F and in the master [Reference Index](https://github.com/MooseShel/90dayplan/blob/main/public/references/INDEX.md).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0868B"/>
        <w:sz w:val="16"/>
      </w:rPr>
      <w:t xml:space="preserve">Strategic Executive Briefing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68B"/>
        <w:sz w:val="16"/>
      </w:rPr>
      <w:t>Google Cloud · Global Oil &amp; Gas Industry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