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27DA" w14:textId="2A1791E2" w:rsidR="00C70607" w:rsidRPr="008B474F" w:rsidRDefault="00C70607" w:rsidP="00C70607">
      <w:pPr>
        <w:spacing w:line="257" w:lineRule="auto"/>
      </w:pPr>
      <w:r w:rsidRPr="008B474F">
        <w:t xml:space="preserve">Im Bereich Effektivität, in dem die Leistungen zentraler Wirkungsindikatoren in den drei Dimensionen Wirtschaft &amp; Soziales, Gesundheit sowie Umwelt gemessen und verglichen werden, </w:t>
      </w:r>
      <w:r w:rsidR="004F0589">
        <w:t xml:space="preserve">ist der </w:t>
      </w:r>
      <w:proofErr w:type="spellStart"/>
      <w:r w:rsidRPr="008B474F">
        <w:t>Kompositindikator</w:t>
      </w:r>
      <w:proofErr w:type="spellEnd"/>
      <w:r w:rsidRPr="008B474F">
        <w:t xml:space="preserve"> Wirtschaft &amp; Soziales gegenüber dem Vorjahr </w:t>
      </w:r>
      <w:proofErr w:type="gramStart"/>
      <w:r w:rsidR="004F0589">
        <w:t>gleich geblieben</w:t>
      </w:r>
      <w:proofErr w:type="gramEnd"/>
      <w:r w:rsidRPr="008B474F">
        <w:t xml:space="preserve">, im Vergleich </w:t>
      </w:r>
      <w:r w:rsidR="004F0589">
        <w:t xml:space="preserve">zu </w:t>
      </w:r>
      <w:r w:rsidRPr="008B474F">
        <w:t xml:space="preserve">den Innovation Leaders </w:t>
      </w:r>
      <w:r w:rsidR="004F0589">
        <w:t xml:space="preserve">ist dieser jedoch </w:t>
      </w:r>
      <w:r w:rsidRPr="008B474F">
        <w:t xml:space="preserve">höher und </w:t>
      </w:r>
      <w:r w:rsidR="004F0589">
        <w:t>zählt</w:t>
      </w:r>
      <w:r w:rsidRPr="008B474F">
        <w:t xml:space="preserve"> damit </w:t>
      </w:r>
      <w:r w:rsidR="004F0589">
        <w:t>zu eine</w:t>
      </w:r>
      <w:r w:rsidR="006270AB">
        <w:t>r</w:t>
      </w:r>
      <w:r w:rsidR="004F0589">
        <w:t xml:space="preserve"> der</w:t>
      </w:r>
      <w:r w:rsidRPr="008B474F">
        <w:t xml:space="preserve"> großen Stärken Österreichs.</w:t>
      </w:r>
      <w:r w:rsidR="006B4B45">
        <w:t xml:space="preserve"> Auch die zusammengesetzten Indikatoren Umwelt und Gesundheit sind auf demselben Niveau wie schon 2022. </w:t>
      </w:r>
    </w:p>
    <w:p w14:paraId="0747872A" w14:textId="744BFB4E" w:rsidR="000401DB" w:rsidRDefault="00C70607" w:rsidP="00C70607">
      <w:r w:rsidRPr="008B474F">
        <w:t>Das Bruttoinlandsprodukt</w:t>
      </w:r>
      <w:r w:rsidRPr="008B474F">
        <w:rPr>
          <w:rStyle w:val="Funotenzeichen"/>
        </w:rPr>
        <w:footnoteReference w:id="1"/>
      </w:r>
      <w:r w:rsidRPr="008B474F">
        <w:t xml:space="preserve"> (BIP) pro Kopf (gemessen in einheitlichen Kaufkraftstandards) verläuft im langfristigen Zeitreihenvergleich (2000-2019) knapp über jenem der </w:t>
      </w:r>
      <w:r>
        <w:t>Innovation Leaders</w:t>
      </w:r>
      <w:r w:rsidRPr="008B474F">
        <w:t xml:space="preserve"> und liegt seit 2020 beinahe gleichauf (in Absolutwerten für das Jahr 2021: AT 54.121, IL 53.017). Österreich zählt somit zum oberen Drittel der Vergleichsländer: diese Position ist über die </w:t>
      </w:r>
      <w:proofErr w:type="gramStart"/>
      <w:r w:rsidRPr="008B474F">
        <w:t>Zeit relativ</w:t>
      </w:r>
      <w:proofErr w:type="gramEnd"/>
      <w:r w:rsidRPr="008B474F">
        <w:t xml:space="preserve"> stabil (vgl. </w:t>
      </w:r>
      <w:proofErr w:type="spellStart"/>
      <w:r w:rsidRPr="008B474F">
        <w:t>Peneder</w:t>
      </w:r>
      <w:proofErr w:type="spellEnd"/>
      <w:r w:rsidRPr="008B474F">
        <w:t xml:space="preserve"> et al. 2022:</w:t>
      </w:r>
      <w:r>
        <w:t xml:space="preserve"> </w:t>
      </w:r>
      <w:r w:rsidRPr="008B474F">
        <w:t>812). Die Top 3-Länder konnten ab 2014 starke Zuwächse verzeichnen und liegen heuer (Top 3: IL, CH, NO) bei einem Absolutwert von 79.730. Die Erwerbstätigenquote</w:t>
      </w:r>
      <w:r w:rsidRPr="008B474F">
        <w:rPr>
          <w:rStyle w:val="Funotenzeichen"/>
        </w:rPr>
        <w:footnoteReference w:id="2"/>
      </w:r>
      <w:r w:rsidRPr="008B474F">
        <w:t xml:space="preserve"> verläuft gleichauf und liegt mit 72,4 % (Anteil der Erwerbstätigen an der Bevölkerung in %) nur knapp über dem Wert des EU-Durchschnitts (69,9 %). Der Verlauf der Arbeitslosenquote</w:t>
      </w:r>
      <w:r w:rsidRPr="008B474F">
        <w:rPr>
          <w:rStyle w:val="Funotenzeichen"/>
        </w:rPr>
        <w:footnoteReference w:id="3"/>
      </w:r>
      <w:r w:rsidRPr="008B474F">
        <w:t xml:space="preserve"> ist im Vergleich zu den weiteren Indikatoren für Wirtschaft &amp; Soziales weniger konstant. </w:t>
      </w:r>
      <w:r w:rsidR="00FA5674">
        <w:t xml:space="preserve">Lag der Wert im Jänner 2023 noch bei </w:t>
      </w:r>
      <w:r w:rsidRPr="008B474F">
        <w:t>6,2 %</w:t>
      </w:r>
      <w:r w:rsidR="00FA5674">
        <w:t xml:space="preserve"> liegt er nach dem Update (30.9.2023) nun bei </w:t>
      </w:r>
      <w:r w:rsidR="000401DB">
        <w:t xml:space="preserve">4,8 % und damit ähnlich </w:t>
      </w:r>
      <w:r w:rsidR="005D4835">
        <w:t xml:space="preserve">gleich </w:t>
      </w:r>
      <w:r w:rsidR="000401DB">
        <w:t>auf wie schon 2019. Diese Verbesserung ist darauf zurückzuführen, das</w:t>
      </w:r>
      <w:r w:rsidR="00C33B44">
        <w:t xml:space="preserve">s sich die Arbeitslosenquote im Vergleich zu den anderen Ländern weniger </w:t>
      </w:r>
      <w:r w:rsidR="00EE6644">
        <w:t xml:space="preserve">stark </w:t>
      </w:r>
      <w:r w:rsidR="00C33B44">
        <w:t>verschlechtert hat.</w:t>
      </w:r>
    </w:p>
    <w:p w14:paraId="634DA099" w14:textId="6E2744D0" w:rsidR="00C70607" w:rsidRPr="008B474F" w:rsidRDefault="00C70607" w:rsidP="00C70607">
      <w:r w:rsidRPr="008B474F">
        <w:t>Die breit definierte Lebensqualität</w:t>
      </w:r>
      <w:r w:rsidRPr="008B474F">
        <w:rPr>
          <w:rStyle w:val="Funotenzeichen"/>
        </w:rPr>
        <w:footnoteReference w:id="4"/>
      </w:r>
      <w:r w:rsidRPr="008B474F">
        <w:t xml:space="preserve"> wurde einmalig 2020 gemessen und setzt sich aus mehreren Indikatoren zusammen. Österreich liegt bei dieser einzigen Messung über dem EU-Durchschnitt, jedoch unter den Innovation Leaders und Top 3 (NO, NL, DK – von denen NL und DK seit Jahren auch zu den Innovation Leaders gehören). Der letzte Indikator im Bereich Wirtschaft &amp; Soziales ist die (invertierte) Jugendarbeitslosigkeitsquote</w:t>
      </w:r>
      <w:r w:rsidRPr="008B474F">
        <w:rPr>
          <w:rStyle w:val="Funotenzeichen"/>
        </w:rPr>
        <w:footnoteReference w:id="5"/>
      </w:r>
      <w:r w:rsidRPr="008B474F">
        <w:t xml:space="preserve">. </w:t>
      </w:r>
      <w:r>
        <w:t xml:space="preserve">Spanien verzeichnet mit rund 29,6 % die höchste Jugendarbeitslosenquote in der Europäischen Union (EU-27). Im Durchschnitt sind in der Europäischen Union rund 14,4 % der arbeitswilligen Jugendlichen arbeitslos gewesen (Stand Januar 2023). Die niedrigste Jugendarbeitslosigkeit in der EU verzeichnen Deutschland mit rund 5,7 % und Tschechien mit 7,1 % (vgl. Statista </w:t>
      </w:r>
      <w:r w:rsidRPr="00FF53CD">
        <w:t xml:space="preserve">2023). Im internationalen Vergleich </w:t>
      </w:r>
      <w:r>
        <w:t>ist die Jugendarbeitslosenquote in Österreich niedriger als jene der Innovation Leaders und des EU-Durchschnitts, jedoch höher als die der Top 3.</w:t>
      </w:r>
      <w:r w:rsidRPr="00FF53CD">
        <w:t xml:space="preserve"> Von 2016 bis 2019 war die Quote abnehmend, ist aber seither wieder leicht gestiegen – der aktuelle Wert liegt bei 11 (gemessen als Anteil der Arbeitslosen an der erwerbstätigen Bevölkerung zwischen 15 und 24 Jahren). Die Niederlande verbessern das Ranking der Innovation Leaders in diesem Bereich, das zeigt auch der Vergleich der beiden Zeitreihen.</w:t>
      </w:r>
      <w:r w:rsidRPr="008B474F">
        <w:t xml:space="preserve"> </w:t>
      </w:r>
    </w:p>
    <w:p w14:paraId="3416F595" w14:textId="63D2852D" w:rsidR="00C70607" w:rsidRDefault="00C70607" w:rsidP="00767F8E">
      <w:r w:rsidRPr="008B474F">
        <w:t xml:space="preserve">Der </w:t>
      </w:r>
      <w:proofErr w:type="spellStart"/>
      <w:r w:rsidRPr="008B474F">
        <w:t>Kompositindikator</w:t>
      </w:r>
      <w:proofErr w:type="spellEnd"/>
      <w:r w:rsidRPr="008B474F">
        <w:t xml:space="preserve"> Gesundheit</w:t>
      </w:r>
      <w:r w:rsidRPr="008B474F">
        <w:rPr>
          <w:rStyle w:val="Funotenzeichen"/>
        </w:rPr>
        <w:footnoteReference w:id="6"/>
      </w:r>
      <w:r w:rsidRPr="008B474F">
        <w:t xml:space="preserve"> </w:t>
      </w:r>
      <w:r w:rsidR="00262460">
        <w:t>weist</w:t>
      </w:r>
      <w:r w:rsidRPr="008B474F">
        <w:t xml:space="preserve"> </w:t>
      </w:r>
      <w:r>
        <w:t>gegenüber dem</w:t>
      </w:r>
      <w:r w:rsidRPr="008B474F">
        <w:t xml:space="preserve"> Vorjahr </w:t>
      </w:r>
      <w:r w:rsidR="00262460">
        <w:t xml:space="preserve">einen leicht verbesserten Trend auf (von </w:t>
      </w:r>
      <w:r w:rsidR="001E5CD4">
        <w:t xml:space="preserve">94 % auf 100 %). </w:t>
      </w:r>
      <w:r w:rsidR="005127BE">
        <w:t xml:space="preserve">Das Datenupdate zum 30. September 2023 </w:t>
      </w:r>
      <w:r w:rsidR="0056606B">
        <w:t>zeigt eine</w:t>
      </w:r>
      <w:r w:rsidR="008C5050">
        <w:t>n</w:t>
      </w:r>
      <w:r w:rsidR="0056606B">
        <w:t xml:space="preserve"> weiteren Aufwärtstrend. </w:t>
      </w:r>
      <w:r w:rsidRPr="008B474F">
        <w:t xml:space="preserve">Österreich liegt mit einem Wert von </w:t>
      </w:r>
      <w:r w:rsidR="00D324F9">
        <w:t xml:space="preserve">rund </w:t>
      </w:r>
      <w:r w:rsidRPr="008B474F">
        <w:t>7</w:t>
      </w:r>
      <w:r w:rsidR="007A151C">
        <w:t>3</w:t>
      </w:r>
      <w:r w:rsidR="00D324F9">
        <w:t xml:space="preserve"> </w:t>
      </w:r>
      <w:r w:rsidRPr="008B474F">
        <w:t>(gemessen in % der Lebensjahre) knapp unter dem Niveau der Innovation Leaders, des EU-Durchschnitts und de</w:t>
      </w:r>
      <w:r w:rsidR="004D4411">
        <w:t>r</w:t>
      </w:r>
      <w:r w:rsidRPr="008B474F">
        <w:t xml:space="preserve"> Top 3 und impliziert damit Handlungsbedarf für die FTI-Politik (siehe EU Mission Cancer). </w:t>
      </w:r>
    </w:p>
    <w:p w14:paraId="6FD83376" w14:textId="77777777" w:rsidR="00C70607" w:rsidRDefault="00C70607" w:rsidP="00C70607">
      <w:r w:rsidRPr="001164FD">
        <w:t>D</w:t>
      </w:r>
      <w:r>
        <w:t>as European Innovation Scoreboard</w:t>
      </w:r>
      <w:r w:rsidRPr="001164FD">
        <w:t xml:space="preserve"> </w:t>
      </w:r>
      <w:r>
        <w:t xml:space="preserve">(EIS) </w:t>
      </w:r>
      <w:r w:rsidRPr="001164FD">
        <w:t>bietet eine vergleichende Analyse der Innovationsleistung in den EU-Ländern, in anderen europäischen Ländern und in regionalen</w:t>
      </w:r>
      <w:r>
        <w:t>. Der hier verwendete EIS-Indikator</w:t>
      </w:r>
      <w:r w:rsidRPr="001164FD">
        <w:t xml:space="preserve"> </w:t>
      </w:r>
      <w:r>
        <w:t>setzt sich aus insgesamt 27 ungewichteten Einzelindikatoren zusammen</w:t>
      </w:r>
      <w:r>
        <w:rPr>
          <w:rStyle w:val="text"/>
        </w:rPr>
        <w:t xml:space="preserve">, die mehrere innovationsrelevante Bereiche betreffen (z.B. Humanressourcen, Forschungsausgaben, Patente, Strukturwandel) und </w:t>
      </w:r>
      <w:r w:rsidRPr="001164FD">
        <w:t xml:space="preserve">die relativen Stärken und Schwächen </w:t>
      </w:r>
      <w:r>
        <w:t>des</w:t>
      </w:r>
      <w:r w:rsidRPr="001164FD">
        <w:t xml:space="preserve"> nationalen Innovationssystem</w:t>
      </w:r>
      <w:r>
        <w:t>s</w:t>
      </w:r>
      <w:r w:rsidRPr="001164FD">
        <w:t xml:space="preserve"> </w:t>
      </w:r>
      <w:r>
        <w:t>ausweisen. Das Niveau in diesem Bereich liegt gleichauf wie im Vorjahr bei 89 Prozent.</w:t>
      </w:r>
    </w:p>
    <w:p w14:paraId="570EB52A" w14:textId="563D6DEE" w:rsidR="00D14BD4" w:rsidRPr="00C70607" w:rsidRDefault="005858C8" w:rsidP="00C70607">
      <w:r>
        <w:t>Nach dem Datenu</w:t>
      </w:r>
      <w:r w:rsidR="00D54E8C">
        <w:t xml:space="preserve">pdate zum 30. September 2023 weist der </w:t>
      </w:r>
      <w:proofErr w:type="spellStart"/>
      <w:r w:rsidR="00C70607" w:rsidRPr="008B474F">
        <w:t>Kompositindikator</w:t>
      </w:r>
      <w:proofErr w:type="spellEnd"/>
      <w:r w:rsidR="00C70607" w:rsidRPr="008B474F">
        <w:t xml:space="preserve"> Umwelt </w:t>
      </w:r>
      <w:r w:rsidR="00C065F5">
        <w:t>im Vergleich zum Datenset vom 31. Jänner 2023</w:t>
      </w:r>
      <w:r w:rsidR="00C065F5">
        <w:t xml:space="preserve"> </w:t>
      </w:r>
      <w:r w:rsidR="00D54E8C">
        <w:t xml:space="preserve">wieder einen leichten Aufwärtstrend auf. </w:t>
      </w:r>
      <w:r w:rsidR="00C70607" w:rsidRPr="008B474F">
        <w:t>D</w:t>
      </w:r>
      <w:r w:rsidR="00C70607">
        <w:t>ie</w:t>
      </w:r>
      <w:r w:rsidR="00C70607" w:rsidRPr="008B474F">
        <w:t xml:space="preserve"> Ressourcenproduktivität</w:t>
      </w:r>
      <w:r w:rsidR="00C70607" w:rsidRPr="008B474F">
        <w:rPr>
          <w:rStyle w:val="Funotenzeichen"/>
        </w:rPr>
        <w:footnoteReference w:id="7"/>
      </w:r>
      <w:r w:rsidR="006A14D5">
        <w:t xml:space="preserve"> hat sich gegenüber dem Datensample vom Jänner 2023 leicht verbessert (</w:t>
      </w:r>
      <w:r w:rsidR="005E545C">
        <w:t>von 77 % auf 96 %) und</w:t>
      </w:r>
      <w:r w:rsidR="00C70607" w:rsidRPr="008B474F">
        <w:t xml:space="preserve"> liegt über dem EU-Durchschnitt, jedoch unter dem Niveau der Innovation Leaders (aufgrund der Niederlande). Hier ist für Österreich nach einem Rückgang 2020 wieder ein leichter Aufwärtstrend zu verzeichnen. Im Vergleich weisen die Top 3 seit 2015 einen kontinuierlichen Aufwärtstrend auf und erreichen heuer einen Wert von rund 6,1 </w:t>
      </w:r>
      <w:r w:rsidR="00C70607" w:rsidRPr="008B474F">
        <w:lastRenderedPageBreak/>
        <w:t xml:space="preserve">(gemessen als BIP je Tonne Materialeinsatz) gegenüber 2,1 für Österreich. Die Energieintensität (gemessen als Energieverbrauch, der mit der jährlichen Produktionsleistung der österreichischen Wirtschaft einhergeht) verläuft über den Beobachtungszeitraum (2000-2021) relativ konstant und liegt mit durchschnittlich rund 4,7 über die Gesamtperiode unter dem Niveau der Innovation Leaders und jenem des EU-Durchschnitts (letzterer Tendenz abnehmend). Der Wert der Top 3 sinkt ebenso kontinuierlich seit 2009 und </w:t>
      </w:r>
      <w:r w:rsidR="00C70607">
        <w:t>lag</w:t>
      </w:r>
      <w:r w:rsidR="00C70607" w:rsidRPr="008B474F">
        <w:t xml:space="preserve"> zuletzt bei 2,3. Der Indikator zur Messung der Treibhausgase</w:t>
      </w:r>
      <w:r w:rsidR="00C70607" w:rsidRPr="008B474F">
        <w:rPr>
          <w:rStyle w:val="Funotenzeichen"/>
        </w:rPr>
        <w:footnoteReference w:id="8"/>
      </w:r>
      <w:r w:rsidR="00C70607" w:rsidRPr="008B474F">
        <w:t xml:space="preserve"> liegt seit Beginn der Zeitreihe (2000) auch heuer wieder über jenem der </w:t>
      </w:r>
      <w:r w:rsidR="00C70607">
        <w:t>Innovation Leader</w:t>
      </w:r>
      <w:r w:rsidR="00C70607" w:rsidRPr="008B474F">
        <w:t>, dem EU-Durchschnitt und weit über jenem der Top 3, allerdings mit einem leichten Abwärtstrend (Vorjahr: 104,2</w:t>
      </w:r>
      <w:r w:rsidR="00C70607">
        <w:t>,</w:t>
      </w:r>
      <w:r w:rsidR="00C70607" w:rsidRPr="008B474F">
        <w:t xml:space="preserve"> heuer: 94,1) (siehe dazu auch C.2 und C.3).</w:t>
      </w:r>
    </w:p>
    <w:sectPr w:rsidR="00D14BD4" w:rsidRPr="00C706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B610" w14:textId="77777777" w:rsidR="00C33DB0" w:rsidRDefault="00C33DB0" w:rsidP="001A3AE8">
      <w:pPr>
        <w:spacing w:after="0"/>
      </w:pPr>
      <w:r>
        <w:separator/>
      </w:r>
    </w:p>
  </w:endnote>
  <w:endnote w:type="continuationSeparator" w:id="0">
    <w:p w14:paraId="76679732" w14:textId="77777777" w:rsidR="00C33DB0" w:rsidRDefault="00C33DB0"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altName w:val="Corbel"/>
    <w:charset w:val="00"/>
    <w:family w:val="swiss"/>
    <w:pitch w:val="variable"/>
    <w:sig w:usb0="A00002FF" w:usb1="5000A4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64B2F" w14:textId="77777777" w:rsidR="00C33DB0" w:rsidRDefault="00C33DB0" w:rsidP="001A3AE8">
      <w:pPr>
        <w:spacing w:after="0"/>
      </w:pPr>
      <w:r>
        <w:separator/>
      </w:r>
    </w:p>
  </w:footnote>
  <w:footnote w:type="continuationSeparator" w:id="0">
    <w:p w14:paraId="74B31F5E" w14:textId="77777777" w:rsidR="00C33DB0" w:rsidRDefault="00C33DB0" w:rsidP="001A3AE8">
      <w:pPr>
        <w:spacing w:after="0"/>
      </w:pPr>
      <w:r>
        <w:continuationSeparator/>
      </w:r>
    </w:p>
  </w:footnote>
  <w:footnote w:id="1">
    <w:p w14:paraId="7CC7572E" w14:textId="77777777" w:rsidR="00C70607" w:rsidRPr="004F0589" w:rsidRDefault="00C70607" w:rsidP="00C70607">
      <w:pPr>
        <w:pStyle w:val="Funotentext"/>
      </w:pPr>
      <w:r w:rsidRPr="008B474F">
        <w:rPr>
          <w:rStyle w:val="Funotenzeichen"/>
        </w:rPr>
        <w:footnoteRef/>
      </w:r>
      <w:r w:rsidRPr="004F0589">
        <w:t xml:space="preserve"> FTI-Monitor, Indikator BIP/Kopf (Weltbank)</w:t>
      </w:r>
    </w:p>
  </w:footnote>
  <w:footnote w:id="2">
    <w:p w14:paraId="0668725B" w14:textId="77777777" w:rsidR="00C70607" w:rsidRPr="008B474F" w:rsidRDefault="00C70607" w:rsidP="00C70607">
      <w:pPr>
        <w:pStyle w:val="Funotentext"/>
      </w:pPr>
      <w:r w:rsidRPr="008B474F">
        <w:rPr>
          <w:rStyle w:val="Funotenzeichen"/>
        </w:rPr>
        <w:footnoteRef/>
      </w:r>
      <w:r w:rsidRPr="008B474F">
        <w:t xml:space="preserve"> FTI-Monitor, Indikator Erwerbstätigenquote (Eurostat [</w:t>
      </w:r>
      <w:proofErr w:type="spellStart"/>
      <w:r w:rsidRPr="008B474F">
        <w:t>ifsi_emp_a</w:t>
      </w:r>
      <w:proofErr w:type="spellEnd"/>
      <w:r w:rsidRPr="008B474F">
        <w:t>])</w:t>
      </w:r>
    </w:p>
  </w:footnote>
  <w:footnote w:id="3">
    <w:p w14:paraId="6FF7BD3C" w14:textId="77777777" w:rsidR="00C70607" w:rsidRPr="008B474F" w:rsidRDefault="00C70607" w:rsidP="00C70607">
      <w:pPr>
        <w:pStyle w:val="Funotentext"/>
      </w:pPr>
      <w:r w:rsidRPr="008B474F">
        <w:rPr>
          <w:rStyle w:val="Funotenzeichen"/>
        </w:rPr>
        <w:footnoteRef/>
      </w:r>
      <w:r w:rsidRPr="008B474F">
        <w:t xml:space="preserve"> FTI-Monitor, Indikator Arbeitslosenquote (Eurostat [</w:t>
      </w:r>
      <w:proofErr w:type="spellStart"/>
      <w:r w:rsidRPr="008B474F">
        <w:t>ifsa_urgan</w:t>
      </w:r>
      <w:proofErr w:type="spellEnd"/>
      <w:r w:rsidRPr="008B474F">
        <w:t>])</w:t>
      </w:r>
    </w:p>
  </w:footnote>
  <w:footnote w:id="4">
    <w:p w14:paraId="0E239F23" w14:textId="77777777" w:rsidR="00C70607" w:rsidRPr="008B474F" w:rsidRDefault="00C70607" w:rsidP="00C70607">
      <w:pPr>
        <w:pStyle w:val="Funotentext"/>
      </w:pPr>
      <w:r w:rsidRPr="008B474F">
        <w:rPr>
          <w:rStyle w:val="Funotenzeichen"/>
        </w:rPr>
        <w:footnoteRef/>
      </w:r>
      <w:r w:rsidRPr="008B474F">
        <w:t xml:space="preserve"> FTI-Monitor, Indikator Lebensqualität (OECD </w:t>
      </w:r>
      <w:proofErr w:type="spellStart"/>
      <w:r w:rsidRPr="008B474F">
        <w:t>Better</w:t>
      </w:r>
      <w:proofErr w:type="spellEnd"/>
      <w:r w:rsidRPr="008B474F">
        <w:t xml:space="preserve"> Life Index)</w:t>
      </w:r>
    </w:p>
  </w:footnote>
  <w:footnote w:id="5">
    <w:p w14:paraId="079CAA68" w14:textId="77777777" w:rsidR="00C70607" w:rsidRPr="008B474F" w:rsidRDefault="00C70607" w:rsidP="00C70607">
      <w:pPr>
        <w:pStyle w:val="Funotentext"/>
      </w:pPr>
      <w:r w:rsidRPr="008B474F">
        <w:rPr>
          <w:rStyle w:val="Funotenzeichen"/>
        </w:rPr>
        <w:footnoteRef/>
      </w:r>
      <w:r w:rsidRPr="008B474F">
        <w:t xml:space="preserve"> FTI-Monitor, Indikator Jugendarbeitslosigkeit (Eurostat [</w:t>
      </w:r>
      <w:proofErr w:type="spellStart"/>
      <w:r w:rsidRPr="008B474F">
        <w:t>une_rt_a</w:t>
      </w:r>
      <w:proofErr w:type="spellEnd"/>
      <w:r w:rsidRPr="008B474F">
        <w:t>])</w:t>
      </w:r>
    </w:p>
  </w:footnote>
  <w:footnote w:id="6">
    <w:p w14:paraId="2041FD19" w14:textId="77777777" w:rsidR="00C70607" w:rsidRPr="008B474F" w:rsidRDefault="00C70607" w:rsidP="00C70607">
      <w:pPr>
        <w:pStyle w:val="Funotentext"/>
      </w:pPr>
      <w:r w:rsidRPr="008B474F">
        <w:rPr>
          <w:rStyle w:val="Funotenzeichen"/>
        </w:rPr>
        <w:footnoteRef/>
      </w:r>
      <w:r w:rsidRPr="008B474F">
        <w:t xml:space="preserve"> FTI-Monitor, zusammengesetzter Indikator Gesundheit (</w:t>
      </w:r>
      <w:r w:rsidRPr="008B474F">
        <w:rPr>
          <w:rStyle w:val="source"/>
        </w:rPr>
        <w:t>Eurostat [</w:t>
      </w:r>
      <w:proofErr w:type="spellStart"/>
      <w:r w:rsidRPr="008B474F">
        <w:rPr>
          <w:rStyle w:val="source"/>
        </w:rPr>
        <w:t>hlth_hlye</w:t>
      </w:r>
      <w:proofErr w:type="spellEnd"/>
      <w:r w:rsidRPr="008B474F">
        <w:rPr>
          <w:rStyle w:val="source"/>
        </w:rPr>
        <w:t>])</w:t>
      </w:r>
    </w:p>
  </w:footnote>
  <w:footnote w:id="7">
    <w:p w14:paraId="1E976D18" w14:textId="77777777" w:rsidR="00C70607" w:rsidRPr="008B474F" w:rsidRDefault="00C70607" w:rsidP="00C70607">
      <w:pPr>
        <w:pStyle w:val="Funotentext"/>
      </w:pPr>
      <w:r w:rsidRPr="008B474F">
        <w:rPr>
          <w:rStyle w:val="Funotenzeichen"/>
        </w:rPr>
        <w:footnoteRef/>
      </w:r>
      <w:r w:rsidRPr="008B474F">
        <w:t xml:space="preserve"> FTI-Monitor, Indikator Ressourcenproduktivität (</w:t>
      </w:r>
      <w:r w:rsidRPr="008B474F">
        <w:rPr>
          <w:rStyle w:val="source"/>
        </w:rPr>
        <w:t>Eurostat [sdg_12_20]</w:t>
      </w:r>
      <w:r w:rsidRPr="008B474F">
        <w:t>)</w:t>
      </w:r>
    </w:p>
  </w:footnote>
  <w:footnote w:id="8">
    <w:p w14:paraId="3240F05C" w14:textId="77777777" w:rsidR="00C70607" w:rsidRPr="008B474F" w:rsidRDefault="00C70607" w:rsidP="00C70607">
      <w:pPr>
        <w:pStyle w:val="Funotentext"/>
      </w:pPr>
      <w:r w:rsidRPr="008B474F">
        <w:rPr>
          <w:rStyle w:val="Funotenzeichen"/>
        </w:rPr>
        <w:footnoteRef/>
      </w:r>
      <w:r w:rsidRPr="008B474F">
        <w:t xml:space="preserve"> FTI-Monitor, Indikator Treibhausgase (</w:t>
      </w:r>
      <w:r w:rsidRPr="008B474F">
        <w:rPr>
          <w:rStyle w:val="source"/>
        </w:rPr>
        <w:t>Eurostat [sdg_13_10])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401DB"/>
    <w:rsid w:val="001A3AE8"/>
    <w:rsid w:val="001B5B37"/>
    <w:rsid w:val="001E5CD4"/>
    <w:rsid w:val="002428C1"/>
    <w:rsid w:val="00262460"/>
    <w:rsid w:val="00393A62"/>
    <w:rsid w:val="004D4411"/>
    <w:rsid w:val="004F0589"/>
    <w:rsid w:val="005127BE"/>
    <w:rsid w:val="0056606B"/>
    <w:rsid w:val="005858C8"/>
    <w:rsid w:val="00585946"/>
    <w:rsid w:val="005D4835"/>
    <w:rsid w:val="005E545C"/>
    <w:rsid w:val="0062262E"/>
    <w:rsid w:val="006270AB"/>
    <w:rsid w:val="006A14D5"/>
    <w:rsid w:val="006B4B45"/>
    <w:rsid w:val="007536C2"/>
    <w:rsid w:val="00767F8E"/>
    <w:rsid w:val="007A151C"/>
    <w:rsid w:val="007D1BD9"/>
    <w:rsid w:val="00832C1F"/>
    <w:rsid w:val="008C5050"/>
    <w:rsid w:val="00AB7C55"/>
    <w:rsid w:val="00C065F5"/>
    <w:rsid w:val="00C33B44"/>
    <w:rsid w:val="00C33DB0"/>
    <w:rsid w:val="00C70607"/>
    <w:rsid w:val="00D14BD4"/>
    <w:rsid w:val="00D324F9"/>
    <w:rsid w:val="00D54E8C"/>
    <w:rsid w:val="00EE6644"/>
    <w:rsid w:val="00FA567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customStyle="1" w:styleId="text">
    <w:name w:val="text"/>
    <w:basedOn w:val="Absatz-Standardschriftart"/>
    <w:rsid w:val="00C70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1A4AD4A6-5BE4-419F-94D9-E16E2EEFC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50bb4-9e35-46b4-b1a7-ff95039fcd3f"/>
    <ds:schemaRef ds:uri="f4fa93e6-52e4-49a7-a318-4449d97b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4656</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Gerhard Reitschuler</cp:lastModifiedBy>
  <cp:revision>27</cp:revision>
  <dcterms:created xsi:type="dcterms:W3CDTF">2023-05-08T07:51:00Z</dcterms:created>
  <dcterms:modified xsi:type="dcterms:W3CDTF">2023-10-12T08:39:00Z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24171d99c2faa640c0f143b6e0d73aca9955bf52a191295b6423f891d156cecc</vt:lpwstr>
  </property>
</Properties>
</file>