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DB2" w:rsidP="00BB2DB2" w:rsidRDefault="00BB2DB2" w14:paraId="26E47F67" w14:textId="711469C9">
      <w:pPr>
        <w:rPr>
          <w:lang w:val="de-DE"/>
        </w:rPr>
      </w:pPr>
      <w:r w:rsidRPr="54CA45C1" w:rsidR="57793C7E">
        <w:rPr>
          <w:lang w:val="de-DE"/>
        </w:rPr>
        <w:t xml:space="preserve">Der Global Innovation Index </w:t>
      </w:r>
      <w:r w:rsidRPr="54CA45C1" w:rsidR="265F8441">
        <w:rPr>
          <w:lang w:val="de-DE"/>
        </w:rPr>
        <w:t xml:space="preserve">(GII) </w:t>
      </w:r>
      <w:r w:rsidRPr="54CA45C1" w:rsidR="57793C7E">
        <w:rPr>
          <w:lang w:val="de-DE"/>
        </w:rPr>
        <w:t>gehört zu den am häufigsten zitierten Rankings im Hinblick auf einen komparativen Ländervergleich der Innovationsstärke einer Volkswirtschaft. Der G</w:t>
      </w:r>
      <w:r w:rsidRPr="54CA45C1" w:rsidR="6B399A4D">
        <w:rPr>
          <w:lang w:val="de-DE"/>
        </w:rPr>
        <w:t>II</w:t>
      </w:r>
      <w:r w:rsidRPr="54CA45C1" w:rsidR="57793C7E">
        <w:rPr>
          <w:lang w:val="de-DE"/>
        </w:rPr>
        <w:t xml:space="preserve"> reiht Länder nach ihrer Innovationsfähigkeit und ihrem Innovationserfolg und basiert auf unterschiedlichen Daten wie jener der Weltbank und des Weltwirtschaftsforums.</w:t>
      </w:r>
    </w:p>
    <w:p w:rsidR="00BB2DB2" w:rsidP="00BB2DB2" w:rsidRDefault="00BB2DB2" w14:paraId="26F84E70" w14:textId="77777777">
      <w:pPr>
        <w:rPr>
          <w:lang w:val="de-DE"/>
        </w:rPr>
      </w:pPr>
      <w:r w:rsidRPr="54CA45C1" w:rsidR="57793C7E">
        <w:rPr>
          <w:lang w:val="de-DE"/>
        </w:rPr>
        <w:t>Die Berechnung erfolgt durch Bildung eines einfachen Durchschnitts der Ergebnisse zweier Teilindizes, dem Innovations-Input-Index und dem Innovations-Output-Index, die sich jeweils aus fünf bzw. zwei Säulen zusammensetzen. Jede dieser Säulen beschreibt eine Innovations-Eigenschaft und umfasst bis zu fünf Indikatoren, deren Punktzahl nach einem gewichteten Durchschnitt berechnet wird.</w:t>
      </w:r>
    </w:p>
    <w:p w:rsidR="0A49630C" w:rsidP="54CA45C1" w:rsidRDefault="0A49630C" w14:paraId="0D77CA7F" w14:textId="4AEC481D">
      <w:pPr>
        <w:pStyle w:val="Normal"/>
        <w:spacing w:after="120"/>
        <w:rPr>
          <w:rFonts w:ascii="TT Norms Pro" w:hAnsi="TT Norms Pro" w:eastAsia="TT Norms Pro" w:cs="TT Norms Pro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de-DE"/>
        </w:rPr>
      </w:pPr>
      <w:r w:rsidRPr="54CA45C1" w:rsidR="0A49630C">
        <w:rPr>
          <w:rFonts w:ascii="TT Norms Pro" w:hAnsi="TT Norms Pro" w:eastAsia="TT Norms Pro" w:cs="TT Norms Pro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de-DE"/>
        </w:rPr>
        <w:t xml:space="preserve">Im GII ergab sich in den vergangenen Jahren eine leichte Verbesserung für Österreich von Platz 21 (2019) auf Platz 17 (2022). Dabei zeigt sich, dass Österreich – konsistent mit den Analysen des Leistungsberichts – bei den Inputs besser als bei den Outputs performt. Im Hinblick auf Subkategorien schneidet Österreich am besten in den Kategorien </w:t>
      </w:r>
      <w:r w:rsidRPr="54CA45C1" w:rsidR="25B22A91">
        <w:rPr>
          <w:lang w:val="de-DE"/>
        </w:rPr>
        <w:t>Institutions</w:t>
      </w:r>
      <w:r w:rsidRPr="54CA45C1" w:rsidR="25B22A91">
        <w:rPr>
          <w:lang w:val="de-DE"/>
        </w:rPr>
        <w:t xml:space="preserve"> (hier am besten in der Subkategorie </w:t>
      </w:r>
      <w:r w:rsidRPr="54CA45C1" w:rsidR="25B22A91">
        <w:rPr>
          <w:rFonts w:eastAsia="TT Norms Pro" w:cs="TT Norms Pro"/>
          <w:lang w:val="de-DE"/>
        </w:rPr>
        <w:t>Regulatory</w:t>
      </w:r>
      <w:r w:rsidRPr="54CA45C1" w:rsidR="25B22A91">
        <w:rPr>
          <w:rFonts w:eastAsia="TT Norms Pro" w:cs="TT Norms Pro"/>
          <w:lang w:val="de-DE"/>
        </w:rPr>
        <w:t xml:space="preserve"> Environment</w:t>
      </w:r>
      <w:r w:rsidRPr="54CA45C1" w:rsidR="25B22A91">
        <w:rPr>
          <w:lang w:val="de-DE"/>
        </w:rPr>
        <w:t xml:space="preserve">) und Infrastructure (hier am besten in der Subkategorie </w:t>
      </w:r>
      <w:r w:rsidRPr="54CA45C1" w:rsidR="25B22A91">
        <w:rPr>
          <w:rFonts w:eastAsia="TT Norms Pro" w:cs="TT Norms Pro"/>
          <w:lang w:val="de-DE"/>
        </w:rPr>
        <w:t xml:space="preserve">Information and Communication Technologies) </w:t>
      </w:r>
      <w:r w:rsidRPr="54CA45C1" w:rsidR="25B22A91">
        <w:rPr>
          <w:lang w:val="de-DE"/>
        </w:rPr>
        <w:t xml:space="preserve">ab, am schwächsten bei Knowledge and Technology Outputs (hier am schwächsten in der Subkategorie </w:t>
      </w:r>
      <w:r w:rsidRPr="54CA45C1" w:rsidR="25B22A91">
        <w:rPr>
          <w:rFonts w:eastAsia="TT Norms Pro" w:cs="TT Norms Pro"/>
          <w:lang w:val="de-DE"/>
        </w:rPr>
        <w:t>Knowledge Impact</w:t>
      </w:r>
      <w:r w:rsidRPr="54CA45C1" w:rsidR="25B22A91">
        <w:rPr>
          <w:lang w:val="de-DE"/>
        </w:rPr>
        <w:t xml:space="preserve">), Creative Outputs (hier am schwächsten in der Subkategorie </w:t>
      </w:r>
      <w:r w:rsidRPr="54CA45C1" w:rsidR="25B22A91">
        <w:rPr>
          <w:rFonts w:eastAsia="TT Norms Pro" w:cs="TT Norms Pro"/>
          <w:lang w:val="de-DE"/>
        </w:rPr>
        <w:t>Intangible</w:t>
      </w:r>
      <w:r w:rsidRPr="54CA45C1" w:rsidR="25B22A91">
        <w:rPr>
          <w:rFonts w:eastAsia="TT Norms Pro" w:cs="TT Norms Pro"/>
          <w:lang w:val="de-DE"/>
        </w:rPr>
        <w:t xml:space="preserve"> Assets)</w:t>
      </w:r>
      <w:r w:rsidRPr="54CA45C1" w:rsidR="25B22A91">
        <w:rPr>
          <w:lang w:val="de-DE"/>
        </w:rPr>
        <w:t xml:space="preserve"> sowie Market </w:t>
      </w:r>
      <w:r w:rsidRPr="54CA45C1" w:rsidR="25B22A91">
        <w:rPr>
          <w:lang w:val="de-DE"/>
        </w:rPr>
        <w:t>Sophistication</w:t>
      </w:r>
      <w:r w:rsidRPr="54CA45C1" w:rsidR="25B22A91">
        <w:rPr>
          <w:lang w:val="de-DE"/>
        </w:rPr>
        <w:t xml:space="preserve"> (hier am schwächsten in der Subkategorie </w:t>
      </w:r>
      <w:r w:rsidRPr="54CA45C1" w:rsidR="25B22A91">
        <w:rPr>
          <w:rFonts w:eastAsia="TT Norms Pro" w:cs="TT Norms Pro"/>
          <w:lang w:val="de-DE"/>
        </w:rPr>
        <w:t>Investment)</w:t>
      </w:r>
      <w:r w:rsidRPr="54CA45C1" w:rsidR="25B22A91">
        <w:rPr>
          <w:lang w:val="de-DE"/>
        </w:rPr>
        <w:t xml:space="preserve">. </w:t>
      </w:r>
      <w:r w:rsidRPr="54CA45C1" w:rsidR="0A49630C">
        <w:rPr>
          <w:rFonts w:ascii="TT Norms Pro" w:hAnsi="TT Norms Pro" w:eastAsia="TT Norms Pro" w:cs="TT Norms Pro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de-DE"/>
        </w:rPr>
        <w:t>Insgesamt erscheint auf Basis der Fortschreibung des Trends der Vergangenheit das Erreichen des Zielwerts eher unwahrscheinlich, aktuell liegt der Grad der Zielerreichung bei 59 %.</w:t>
      </w:r>
    </w:p>
    <w:p w:rsidR="5751AF33" w:rsidP="54CA45C1" w:rsidRDefault="5751AF33" w14:paraId="2ED02E98" w14:textId="06198A5F">
      <w:pPr>
        <w:pStyle w:val="Normal"/>
        <w:rPr>
          <w:lang w:val="de-DE"/>
        </w:rPr>
      </w:pPr>
    </w:p>
    <w:p w:rsidR="54CA45C1" w:rsidP="54CA45C1" w:rsidRDefault="54CA45C1" w14:paraId="525C2EE5" w14:textId="25B8C506">
      <w:pPr>
        <w:pStyle w:val="Normal"/>
        <w:rPr>
          <w:rFonts w:ascii="TT Norms Pro" w:hAnsi="TT Norms Pro" w:eastAsia="TT Norms Pro" w:cs="TT Norms Pro"/>
          <w:noProof w:val="0"/>
          <w:color w:val="000000" w:themeColor="text1" w:themeTint="FF" w:themeShade="FF"/>
          <w:sz w:val="19"/>
          <w:szCs w:val="19"/>
          <w:lang w:val="de-DE"/>
        </w:rPr>
      </w:pPr>
    </w:p>
    <w:sectPr w:rsidRPr="00BB2DB2" w:rsidR="00D14BD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1986" w:rsidP="001A3AE8" w:rsidRDefault="00A51986" w14:paraId="3D7434E7" w14:textId="77777777">
      <w:pPr>
        <w:spacing w:after="0"/>
      </w:pPr>
      <w:r>
        <w:separator/>
      </w:r>
    </w:p>
  </w:endnote>
  <w:endnote w:type="continuationSeparator" w:id="0">
    <w:p w:rsidR="00A51986" w:rsidP="001A3AE8" w:rsidRDefault="00A51986" w14:paraId="5B5A2E2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1986" w:rsidP="001A3AE8" w:rsidRDefault="00A51986" w14:paraId="65815C25" w14:textId="77777777">
      <w:pPr>
        <w:spacing w:after="0"/>
      </w:pPr>
      <w:r>
        <w:separator/>
      </w:r>
    </w:p>
  </w:footnote>
  <w:footnote w:type="continuationSeparator" w:id="0">
    <w:p w:rsidR="00A51986" w:rsidP="001A3AE8" w:rsidRDefault="00A51986" w14:paraId="0613085F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1A3AE8"/>
    <w:rsid w:val="001B5B37"/>
    <w:rsid w:val="002428C1"/>
    <w:rsid w:val="002766A1"/>
    <w:rsid w:val="003114CA"/>
    <w:rsid w:val="00393A62"/>
    <w:rsid w:val="00585946"/>
    <w:rsid w:val="007536C2"/>
    <w:rsid w:val="007D1BD9"/>
    <w:rsid w:val="00832C1F"/>
    <w:rsid w:val="00A47300"/>
    <w:rsid w:val="00A51986"/>
    <w:rsid w:val="00BB2DB2"/>
    <w:rsid w:val="00D14BD4"/>
    <w:rsid w:val="00D4693C"/>
    <w:rsid w:val="00D9531A"/>
    <w:rsid w:val="0A49630C"/>
    <w:rsid w:val="0BCEDB50"/>
    <w:rsid w:val="25B22A91"/>
    <w:rsid w:val="265F8441"/>
    <w:rsid w:val="54CA45C1"/>
    <w:rsid w:val="5751AF33"/>
    <w:rsid w:val="57793C7E"/>
    <w:rsid w:val="63AF1AA0"/>
    <w:rsid w:val="6B399A4D"/>
    <w:rsid w:val="7190CD86"/>
    <w:rsid w:val="7704C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Standard Copytext"/>
    <w:qFormat/>
    <w:rsid w:val="001A3AE8"/>
    <w:pPr>
      <w:spacing w:after="120"/>
    </w:pPr>
    <w:rPr>
      <w:rFonts w:ascii="TT Norms Pro" w:hAnsi="TT Norms Pro" w:eastAsiaTheme="minorEastAsia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infAbs" w:customStyle="1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styleId="DateChar" w:customStyle="1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hAnsi="TT Norms Regular" w:eastAsiaTheme="minorEastAsia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styleId="FooterChar" w:customStyle="1">
    <w:name w:val="Footer Char"/>
    <w:basedOn w:val="DefaultParagraphFont"/>
    <w:link w:val="Footer"/>
    <w:uiPriority w:val="99"/>
    <w:rsid w:val="00585946"/>
    <w:rPr>
      <w:rFonts w:ascii="TT Norms Regular" w:hAnsi="TT Norms Regular" w:eastAsiaTheme="minorEastAsia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styleId="HeaderChar" w:customStyle="1">
    <w:name w:val="Header Char"/>
    <w:basedOn w:val="DefaultParagraphFont"/>
    <w:link w:val="Header"/>
    <w:uiPriority w:val="99"/>
    <w:rsid w:val="00585946"/>
    <w:rPr>
      <w:rFonts w:ascii="TT Norms Regular" w:hAnsi="TT Norms Regular" w:eastAsiaTheme="minorEastAsia"/>
      <w:color w:val="000000" w:themeColor="text1"/>
      <w:sz w:val="20"/>
      <w:lang w:val="de-AT" w:eastAsia="zh-CN"/>
    </w:rPr>
  </w:style>
  <w:style w:type="character" w:styleId="Heading1Char" w:customStyle="1">
    <w:name w:val="Heading 1 Char"/>
    <w:aliases w:val="Betreff Char"/>
    <w:basedOn w:val="DefaultParagraphFont"/>
    <w:link w:val="Heading1"/>
    <w:uiPriority w:val="9"/>
    <w:rsid w:val="00585946"/>
    <w:rPr>
      <w:rFonts w:ascii="TT Norms Medium" w:hAnsi="TT Norms Medium" w:cs="TT Norms Medium" w:eastAsiaTheme="minorEastAsia"/>
      <w:color w:val="291E6B"/>
      <w:spacing w:val="4"/>
      <w:sz w:val="20"/>
      <w:szCs w:val="19"/>
      <w:lang w:val="de-DE" w:eastAsia="zh-C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85946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de-AT" w:eastAsia="zh-CN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85946"/>
    <w:rPr>
      <w:rFonts w:asciiTheme="majorHAnsi" w:hAnsiTheme="majorHAnsi" w:eastAsiaTheme="majorEastAsia" w:cstheme="majorBidi"/>
      <w:color w:val="1F3763" w:themeColor="accent1" w:themeShade="7F"/>
      <w:lang w:val="de-AT" w:eastAsia="zh-CN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85946"/>
    <w:rPr>
      <w:rFonts w:asciiTheme="majorHAnsi" w:hAnsiTheme="majorHAnsi" w:eastAsiaTheme="majorEastAsia" w:cstheme="majorBidi"/>
      <w:i/>
      <w:iCs/>
      <w:color w:val="2F5496" w:themeColor="accent1" w:themeShade="BF"/>
      <w:sz w:val="20"/>
      <w:lang w:val="de-AT" w:eastAsia="zh-CN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85946"/>
    <w:rPr>
      <w:rFonts w:asciiTheme="majorHAnsi" w:hAnsiTheme="majorHAnsi" w:eastAsiaTheme="majorEastAsia" w:cstheme="majorBidi"/>
      <w:color w:val="2F5496" w:themeColor="accent1" w:themeShade="BF"/>
      <w:sz w:val="20"/>
      <w:lang w:val="de-AT" w:eastAsia="zh-CN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85946"/>
    <w:rPr>
      <w:rFonts w:asciiTheme="majorHAnsi" w:hAnsiTheme="majorHAnsi" w:eastAsiaTheme="majorEastAsia" w:cstheme="majorBidi"/>
      <w:color w:val="1F3763" w:themeColor="accent1" w:themeShade="7F"/>
      <w:sz w:val="20"/>
      <w:lang w:val="de-AT" w:eastAsia="zh-CN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85946"/>
    <w:rPr>
      <w:rFonts w:asciiTheme="majorHAnsi" w:hAnsiTheme="majorHAnsi" w:eastAsiaTheme="majorEastAsia" w:cstheme="majorBidi"/>
      <w:i/>
      <w:iCs/>
      <w:color w:val="1F3763" w:themeColor="accent1" w:themeShade="7F"/>
      <w:sz w:val="20"/>
      <w:lang w:val="de-AT" w:eastAsia="zh-CN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85946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de-AT" w:eastAsia="zh-CN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5946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styleId="SalutationChar" w:customStyle="1">
    <w:name w:val="Salutation Char"/>
    <w:basedOn w:val="DefaultParagraphFont"/>
    <w:link w:val="Salutation"/>
    <w:uiPriority w:val="99"/>
    <w:rsid w:val="00585946"/>
    <w:rPr>
      <w:rFonts w:ascii="TT Norms Regular" w:hAnsi="TT Norms Regular" w:eastAsiaTheme="minorEastAsia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styleId="FootnoteTextChar" w:customStyle="1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hAnsiTheme="minorHAnsi" w:eastAsiaTheme="minorHAnsi"/>
      <w:color w:val="auto"/>
      <w:kern w:val="2"/>
      <w:szCs w:val="20"/>
      <w:lang w:val="en-AT" w:eastAsia="en-US"/>
      <w14:ligatures w14:val="standardContextual"/>
    </w:rPr>
  </w:style>
  <w:style w:type="character" w:styleId="FootnoteTextChar1" w:customStyle="1">
    <w:name w:val="Footnote Text Char1"/>
    <w:basedOn w:val="DefaultParagraphFont"/>
    <w:uiPriority w:val="99"/>
    <w:semiHidden/>
    <w:rsid w:val="001A3AE8"/>
    <w:rPr>
      <w:rFonts w:ascii="TT Norms Pro" w:hAnsi="TT Norms Pro" w:eastAsiaTheme="minorEastAsia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styleId="source" w:customStyle="1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93F93849-3369-41F3-BDE8-B7A1CDAD3F20}"/>
</file>

<file path=customXml/itemProps3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Wagner</dc:creator>
  <keywords/>
  <dc:description/>
  <lastModifiedBy>Alexandra Mazak-Huemer</lastModifiedBy>
  <revision>10</revision>
  <dcterms:created xsi:type="dcterms:W3CDTF">2023-05-08T07:51:00.0000000Z</dcterms:created>
  <dcterms:modified xsi:type="dcterms:W3CDTF">2023-06-13T12:40:28.0142248Z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