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CHECKPOINT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ALGORITHM Compteur mots et voyelles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compt_mots,compt_voy, i : int;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phrase: str;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compt_mots: =0;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compt_voy:=0;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 i FROM 1 TO phrase.length DO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phrase[i] = “u”|| phrase[i] = “i”|| phrase[i] = “o”|| phrase[i] = “a”|| phrase[i] = “e” THEN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compt_voy ++;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phrase[i] = “ ”THEN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compt_mots++;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phrase[i] = “.” THEN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STOP;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WRITE (“LA PHRASE COMPTE” ,compt_mots, “ MOT et ” ,compt_voy, “ VOYELLES”);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ALGORITHM Comparaison de deux tableaux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tab1,tab2 : ARRAY_OF_INTEGER;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i: INT;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j:INT;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sum:=0;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 i FROM 1 TO tab1.length STEP1 DO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j=1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WHILE( j &lt; tab2.length)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IF (tab1[i]&lt;&gt; tab2 [j]) THEN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sum+=tab1[i];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END WHILE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FOR j FROM 1 TO tab2.length STEP1 DO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i=1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WHILE( i&lt; tab2.length)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IF (tab1[i]&lt;&gt; tab2 [j]) THEN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sum+=tab2[j];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END WHILE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WRITE (“LA SOMME DES ÉLÉMENTS DISTINCTS” ,sum);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