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pPr>
      <w:r>
        <w:rPr>
          <w:b/>
          <w:bCs/>
          <w:color w:val="1F6F63"/>
          <w:spacing w:val="60"/>
          <w:sz w:val="20"/>
          <w:szCs w:val="20"/>
        </w:rPr>
        <w:t xml:space="preserve">MONPOINT MS</w:t>
      </w:r>
    </w:p>
    <w:p>
      <w:pPr>
        <w:spacing w:after="140"/>
      </w:pPr>
      <w:r>
        <w:rPr>
          <w:b/>
          <w:bCs/>
          <w:color w:val="12233F"/>
          <w:sz w:val="48"/>
          <w:szCs w:val="48"/>
        </w:rPr>
        <w:t xml:space="preserve">Guía de estudio de la infraestructura</w:t>
      </w:r>
    </w:p>
    <w:p>
      <w:pPr>
        <w:spacing w:after="700"/>
      </w:pPr>
      <w:r>
        <w:rPr>
          <w:color w:val="1F6F63"/>
          <w:sz w:val="26"/>
          <w:szCs w:val="26"/>
        </w:rPr>
        <w:t xml:space="preserve">Qué se configuró, por qué, y qué hay que poder explicar</w:t>
      </w:r>
    </w:p>
    <w:p>
      <w:pPr>
        <w:pBdr>
          <w:bottom w:val="single" w:color="1F6F63" w:sz="12" w:space="8"/>
        </w:pBdr>
        <w:spacing w:after="240"/>
      </w:pPr>
    </w:p>
    <w:p>
      <w:pPr>
        <w:spacing w:after="120" w:line="276"/>
      </w:pPr>
      <w:r>
        <w:rPr>
          <w:b/>
          <w:bCs/>
          <w:color w:val="12233F"/>
          <w:sz w:val="21"/>
          <w:szCs w:val="21"/>
        </w:rPr>
        <w:t xml:space="preserve">Para: </w:t>
      </w:r>
      <w:r>
        <w:rPr>
          <w:color w:val="3E4C59"/>
          <w:sz w:val="21"/>
          <w:szCs w:val="21"/>
        </w:rPr>
        <w:t xml:space="preserve">Alejandro, Victor y Hugo</w:t>
      </w:r>
    </w:p>
    <w:p>
      <w:pPr>
        <w:spacing w:after="120" w:line="276"/>
      </w:pPr>
      <w:r>
        <w:rPr>
          <w:b/>
          <w:bCs/>
          <w:color w:val="12233F"/>
          <w:sz w:val="21"/>
          <w:szCs w:val="21"/>
        </w:rPr>
        <w:t xml:space="preserve">Cubre: </w:t>
      </w:r>
      <w:r>
        <w:rPr>
          <w:color w:val="3E4C59"/>
          <w:sz w:val="21"/>
          <w:szCs w:val="21"/>
        </w:rPr>
        <w:t xml:space="preserve">docker-compose.yml, mongo-init, .env.example, .gitignore, README.md</w:t>
      </w:r>
    </w:p>
    <w:p>
      <w:pPr>
        <w:spacing w:after="120" w:line="276"/>
      </w:pPr>
      <w:r>
        <w:rPr>
          <w:b/>
          <w:bCs/>
          <w:color w:val="12233F"/>
          <w:sz w:val="21"/>
          <w:szCs w:val="21"/>
        </w:rPr>
        <w:t xml:space="preserve">Tareas del tablero: </w:t>
      </w:r>
      <w:r>
        <w:rPr>
          <w:color w:val="3E4C59"/>
          <w:sz w:val="21"/>
          <w:szCs w:val="21"/>
        </w:rPr>
        <w:t xml:space="preserve">1.1, 1.4 y parte de 2.1</w:t>
      </w:r>
    </w:p>
    <w:p>
      <w:pPr>
        <w:spacing w:after="120" w:line="276"/>
      </w:pPr>
      <w:r>
        <w:rPr>
          <w:b/>
          <w:bCs/>
          <w:color w:val="12233F"/>
          <w:sz w:val="21"/>
          <w:szCs w:val="21"/>
        </w:rPr>
        <w:t xml:space="preserve">Fecha: </w:t>
      </w:r>
      <w:r>
        <w:rPr>
          <w:color w:val="3E4C59"/>
          <w:sz w:val="21"/>
          <w:szCs w:val="21"/>
        </w:rPr>
        <w:t xml:space="preserve">26 de septiembre de 2026</w:t>
      </w:r>
    </w:p>
    <w:p>
      <w:pPr>
        <w:spacing w:after="400"/>
      </w:pPr>
    </w:p>
    <w:tbl>
      <w:tblPr>
        <w:tblW w:type="dxa" w:w="9360"/>
        <w:tblBorders>
          <w:top w:val="none"/>
          <w:left w:val="single" w:color="1F6F63" w:sz="18"/>
          <w:bottom w:val="none"/>
          <w:right w:val="none"/>
          <w:insideH w:val="none"/>
          <w:insideV w:val="none"/>
        </w:tblBorders>
      </w:tblPr>
      <w:tblGrid>
        <w:gridCol w:w="9360"/>
      </w:tblGrid>
      <w:tr>
        <w:tc>
          <w:tcPr>
            <w:tcW w:type="dxa" w:w="9360"/>
            <w:shd w:fill="EDF4F2" w:val="clear"/>
            <w:tcMar>
              <w:top w:type="dxa" w:w="140"/>
              <w:left w:type="dxa" w:w="180"/>
              <w:bottom w:type="dxa" w:w="140"/>
              <w:right w:type="dxa" w:w="180"/>
            </w:tcMar>
          </w:tcPr>
          <w:p>
            <w:pPr>
              <w:spacing w:after="60"/>
            </w:pPr>
            <w:r>
              <w:rPr>
                <w:b/>
                <w:bCs/>
                <w:color w:val="1F6F63"/>
                <w:sz w:val="20"/>
                <w:szCs w:val="20"/>
              </w:rPr>
              <w:t xml:space="preserve">Para qué sirve este documento</w:t>
            </w:r>
          </w:p>
          <w:p>
            <w:pPr>
              <w:spacing w:after="0" w:line="268"/>
            </w:pPr>
            <w:r>
              <w:rPr>
                <w:color w:val="3E4C59"/>
                <w:sz w:val="20"/>
                <w:szCs w:val="20"/>
              </w:rPr>
              <w:t xml:space="preserve">La infraestructura del proyecto se generó en lugar de escribirse a mano, para ahorrar los dos días que normalmente se pierden peleando con configuración. El acuerdo es que podamos explicar cada decisión. Este documento contiene exactamente eso: qué hace cada pieza, por qué está así, y qué preguntas deberíamos poder responder si nos las hacen.</w:t>
            </w:r>
          </w:p>
        </w:tc>
      </w:tr>
    </w:tbl>
    <w:p>
      <w:pPr>
        <w:pageBreakBefore/>
      </w:pPr>
    </w:p>
    <w:p>
      <w:pPr>
        <w:pStyle w:val="Heading1"/>
        <w:pBdr>
          <w:bottom w:val="single" w:color="1F6F63" w:sz="12" w:space="6"/>
        </w:pBdr>
        <w:spacing w:after="160" w:before="360"/>
      </w:pPr>
      <w:r>
        <w:rPr>
          <w:b/>
          <w:bCs/>
          <w:color w:val="12233F"/>
          <w:sz w:val="30"/>
          <w:szCs w:val="30"/>
        </w:rPr>
        <w:t xml:space="preserve">1. Qué se generó y qué no</w:t>
      </w:r>
    </w:p>
    <w:p>
      <w:pPr>
        <w:spacing w:after="120" w:line="276"/>
      </w:pPr>
      <w:r>
        <w:rPr>
          <w:color w:val="3E4C59"/>
          <w:sz w:val="21"/>
          <w:szCs w:val="21"/>
        </w:rPr>
        <w:t xml:space="preserve">La infraestructura compartida está lista. Los microservicios y el cliente web los construimos nosotros.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12233F" w:val="clear"/>
            <w:tcMar>
              <w:top w:type="dxa" w:w="90"/>
              <w:left w:type="dxa" w:w="120"/>
              <w:bottom w:type="dxa" w:w="90"/>
              <w:right w:type="dxa" w:w="120"/>
            </w:tcMar>
          </w:tcPr>
          <w:p>
            <w:r>
              <w:rPr>
                <w:b/>
                <w:bCs/>
                <w:color w:val="FFFFFF"/>
                <w:sz w:val="19"/>
                <w:szCs w:val="19"/>
              </w:rPr>
              <w:t xml:space="preserve">Archivo</w:t>
            </w:r>
          </w:p>
        </w:tc>
        <w:tc>
          <w:tcPr>
            <w:tcW w:type="dxa" w:w="5660"/>
            <w:shd w:fill="12233F" w:val="clear"/>
            <w:tcMar>
              <w:top w:type="dxa" w:w="90"/>
              <w:left w:type="dxa" w:w="120"/>
              <w:bottom w:type="dxa" w:w="90"/>
              <w:right w:type="dxa" w:w="120"/>
            </w:tcMar>
          </w:tcPr>
          <w:p>
            <w:r>
              <w:rPr>
                <w:b/>
                <w:bCs/>
                <w:color w:val="FFFFFF"/>
                <w:sz w:val="19"/>
                <w:szCs w:val="19"/>
              </w:rPr>
              <w:t xml:space="preserve">Qué hace</w:t>
            </w:r>
          </w:p>
        </w:tc>
      </w:tr>
      <w:tr>
        <w:tc>
          <w:tcPr>
            <w:tcW w:type="dxa" w:w="3700"/>
            <w:tcMar>
              <w:top w:type="dxa" w:w="90"/>
              <w:left w:type="dxa" w:w="120"/>
              <w:bottom w:type="dxa" w:w="90"/>
              <w:right w:type="dxa" w:w="120"/>
            </w:tcMar>
          </w:tcPr>
          <w:p>
            <w:pPr>
              <w:spacing w:line="268"/>
            </w:pPr>
            <w:r>
              <w:rPr>
                <w:color w:val="3E4C59"/>
                <w:sz w:val="19"/>
                <w:szCs w:val="19"/>
              </w:rPr>
              <w:t xml:space="preserve">infra/docker-compose.yml</w:t>
            </w:r>
          </w:p>
        </w:tc>
        <w:tc>
          <w:tcPr>
            <w:tcW w:type="dxa" w:w="5660"/>
            <w:tcMar>
              <w:top w:type="dxa" w:w="90"/>
              <w:left w:type="dxa" w:w="120"/>
              <w:bottom w:type="dxa" w:w="90"/>
              <w:right w:type="dxa" w:w="120"/>
            </w:tcMar>
          </w:tcPr>
          <w:p>
            <w:pPr>
              <w:spacing w:line="268"/>
            </w:pPr>
            <w:r>
              <w:rPr>
                <w:color w:val="3E4C59"/>
                <w:sz w:val="19"/>
                <w:szCs w:val="19"/>
              </w:rPr>
              <w:t xml:space="preserve">Levanta MongoDB, RabbitMQ, Eureka y el Gateway con una sola instrucción</w:t>
            </w:r>
          </w:p>
        </w:tc>
      </w:tr>
      <w:tr>
        <w:tc>
          <w:tcPr>
            <w:tcW w:type="dxa" w:w="3700"/>
            <w:shd w:fill="F7F9FA" w:val="clear"/>
            <w:tcMar>
              <w:top w:type="dxa" w:w="90"/>
              <w:left w:type="dxa" w:w="120"/>
              <w:bottom w:type="dxa" w:w="90"/>
              <w:right w:type="dxa" w:w="120"/>
            </w:tcMar>
          </w:tcPr>
          <w:p>
            <w:pPr>
              <w:spacing w:line="268"/>
            </w:pPr>
            <w:r>
              <w:rPr>
                <w:color w:val="3E4C59"/>
                <w:sz w:val="19"/>
                <w:szCs w:val="19"/>
              </w:rPr>
              <w:t xml:space="preserve">infra/mongo-init/01-crear-bases-y-usuarios.js</w:t>
            </w:r>
          </w:p>
        </w:tc>
        <w:tc>
          <w:tcPr>
            <w:tcW w:type="dxa" w:w="5660"/>
            <w:shd w:fill="F7F9FA" w:val="clear"/>
            <w:tcMar>
              <w:top w:type="dxa" w:w="90"/>
              <w:left w:type="dxa" w:w="120"/>
              <w:bottom w:type="dxa" w:w="90"/>
              <w:right w:type="dxa" w:w="120"/>
            </w:tcMar>
          </w:tcPr>
          <w:p>
            <w:pPr>
              <w:spacing w:line="268"/>
            </w:pPr>
            <w:r>
              <w:rPr>
                <w:color w:val="3E4C59"/>
                <w:sz w:val="19"/>
                <w:szCs w:val="19"/>
              </w:rPr>
              <w:t xml:space="preserve">Crea las seis bases de datos y sus seis usuarios</w:t>
            </w:r>
          </w:p>
        </w:tc>
      </w:tr>
      <w:tr>
        <w:tc>
          <w:tcPr>
            <w:tcW w:type="dxa" w:w="3700"/>
            <w:tcMar>
              <w:top w:type="dxa" w:w="90"/>
              <w:left w:type="dxa" w:w="120"/>
              <w:bottom w:type="dxa" w:w="90"/>
              <w:right w:type="dxa" w:w="120"/>
            </w:tcMar>
          </w:tcPr>
          <w:p>
            <w:pPr>
              <w:spacing w:line="268"/>
            </w:pPr>
            <w:r>
              <w:rPr>
                <w:color w:val="3E4C59"/>
                <w:sz w:val="19"/>
                <w:szCs w:val="19"/>
              </w:rPr>
              <w:t xml:space="preserve">infra/.env.example</w:t>
            </w:r>
          </w:p>
        </w:tc>
        <w:tc>
          <w:tcPr>
            <w:tcW w:type="dxa" w:w="5660"/>
            <w:tcMar>
              <w:top w:type="dxa" w:w="90"/>
              <w:left w:type="dxa" w:w="120"/>
              <w:bottom w:type="dxa" w:w="90"/>
              <w:right w:type="dxa" w:w="120"/>
            </w:tcMar>
          </w:tcPr>
          <w:p>
            <w:pPr>
              <w:spacing w:line="268"/>
            </w:pPr>
            <w:r>
              <w:rPr>
                <w:color w:val="3E4C59"/>
                <w:sz w:val="19"/>
                <w:szCs w:val="19"/>
              </w:rPr>
              <w:t xml:space="preserve">Plantilla de variables de entorno: qué credenciales hacen falta</w:t>
            </w:r>
          </w:p>
        </w:tc>
      </w:tr>
      <w:tr>
        <w:tc>
          <w:tcPr>
            <w:tcW w:type="dxa" w:w="3700"/>
            <w:shd w:fill="F7F9FA" w:val="clear"/>
            <w:tcMar>
              <w:top w:type="dxa" w:w="90"/>
              <w:left w:type="dxa" w:w="120"/>
              <w:bottom w:type="dxa" w:w="90"/>
              <w:right w:type="dxa" w:w="120"/>
            </w:tcMar>
          </w:tcPr>
          <w:p>
            <w:pPr>
              <w:spacing w:line="268"/>
            </w:pPr>
            <w:r>
              <w:rPr>
                <w:color w:val="3E4C59"/>
                <w:sz w:val="19"/>
                <w:szCs w:val="19"/>
              </w:rPr>
              <w:t xml:space="preserve">.gitignore</w:t>
            </w:r>
          </w:p>
        </w:tc>
        <w:tc>
          <w:tcPr>
            <w:tcW w:type="dxa" w:w="5660"/>
            <w:shd w:fill="F7F9FA" w:val="clear"/>
            <w:tcMar>
              <w:top w:type="dxa" w:w="90"/>
              <w:left w:type="dxa" w:w="120"/>
              <w:bottom w:type="dxa" w:w="90"/>
              <w:right w:type="dxa" w:w="120"/>
            </w:tcMar>
          </w:tcPr>
          <w:p>
            <w:pPr>
              <w:spacing w:line="268"/>
            </w:pPr>
            <w:r>
              <w:rPr>
                <w:color w:val="3E4C59"/>
                <w:sz w:val="19"/>
                <w:szCs w:val="19"/>
              </w:rPr>
              <w:t xml:space="preserve">Impide que se versionen credenciales y archivos compilados</w:t>
            </w:r>
          </w:p>
        </w:tc>
      </w:tr>
      <w:tr>
        <w:tc>
          <w:tcPr>
            <w:tcW w:type="dxa" w:w="3700"/>
            <w:tcMar>
              <w:top w:type="dxa" w:w="90"/>
              <w:left w:type="dxa" w:w="120"/>
              <w:bottom w:type="dxa" w:w="90"/>
              <w:right w:type="dxa" w:w="120"/>
            </w:tcMar>
          </w:tcPr>
          <w:p>
            <w:pPr>
              <w:spacing w:line="268"/>
            </w:pPr>
            <w:r>
              <w:rPr>
                <w:color w:val="3E4C59"/>
                <w:sz w:val="19"/>
                <w:szCs w:val="19"/>
              </w:rPr>
              <w:t xml:space="preserve">README.md</w:t>
            </w:r>
          </w:p>
        </w:tc>
        <w:tc>
          <w:tcPr>
            <w:tcW w:type="dxa" w:w="5660"/>
            <w:tcMar>
              <w:top w:type="dxa" w:w="90"/>
              <w:left w:type="dxa" w:w="120"/>
              <w:bottom w:type="dxa" w:w="90"/>
              <w:right w:type="dxa" w:w="120"/>
            </w:tcMar>
          </w:tcPr>
          <w:p>
            <w:pPr>
              <w:spacing w:line="268"/>
            </w:pPr>
            <w:r>
              <w:rPr>
                <w:color w:val="3E4C59"/>
                <w:sz w:val="19"/>
                <w:szCs w:val="19"/>
              </w:rPr>
              <w:t xml:space="preserve">Instrucciones de arranque y tabla de diagnóstico de fallos</w:t>
            </w:r>
          </w:p>
        </w:tc>
      </w:tr>
    </w:tbl>
    <w:p>
      <w:pPr>
        <w:spacing w:after="200"/>
      </w:pPr>
    </w:p>
    <w:p>
      <w:pPr>
        <w:pStyle w:val="Heading2"/>
        <w:spacing w:after="110" w:before="260"/>
      </w:pPr>
      <w:r>
        <w:rPr>
          <w:b/>
          <w:bCs/>
          <w:color w:val="1F6F63"/>
          <w:sz w:val="24"/>
          <w:szCs w:val="24"/>
        </w:rPr>
        <w:t xml:space="preserve">Lo que NO está hecho</w:t>
      </w:r>
    </w:p>
    <w:p>
      <w:pPr>
        <w:pStyle w:val="ListParagraph"/>
        <w:numPr>
          <w:ilvl w:val="0"/>
          <w:numId w:val="2"/>
        </w:numPr>
        <w:spacing w:after="70" w:line="276"/>
      </w:pPr>
      <w:r>
        <w:rPr>
          <w:color w:val="3E4C59"/>
          <w:sz w:val="21"/>
          <w:szCs w:val="21"/>
        </w:rPr>
        <w:t xml:space="preserve">Los seis microservicios: solo existen las carpetas vacías.</w:t>
      </w:r>
    </w:p>
    <w:p>
      <w:pPr>
        <w:pStyle w:val="ListParagraph"/>
        <w:numPr>
          <w:ilvl w:val="0"/>
          <w:numId w:val="2"/>
        </w:numPr>
        <w:spacing w:after="70" w:line="276"/>
      </w:pPr>
      <w:r>
        <w:rPr>
          <w:color w:val="3E4C59"/>
          <w:sz w:val="21"/>
          <w:szCs w:val="21"/>
        </w:rPr>
        <w:t xml:space="preserve">La validación de JWT en el Gateway (tarea 2.3) y CORS (tarea 2.4).</w:t>
      </w:r>
    </w:p>
    <w:p>
      <w:pPr>
        <w:pStyle w:val="ListParagraph"/>
        <w:numPr>
          <w:ilvl w:val="0"/>
          <w:numId w:val="2"/>
        </w:numPr>
        <w:spacing w:after="70" w:line="276"/>
      </w:pPr>
      <w:r>
        <w:rPr>
          <w:color w:val="3E4C59"/>
          <w:sz w:val="21"/>
          <w:szCs w:val="21"/>
        </w:rPr>
        <w:t xml:space="preserve">La topología de RabbitMQ: los exchanges y colas se declaran desde el código de los servicios, no aquí.</w:t>
      </w:r>
    </w:p>
    <w:p>
      <w:pPr>
        <w:pStyle w:val="ListParagraph"/>
        <w:numPr>
          <w:ilvl w:val="0"/>
          <w:numId w:val="2"/>
        </w:numPr>
        <w:spacing w:after="70" w:line="276"/>
      </w:pPr>
      <w:r>
        <w:rPr>
          <w:color w:val="3E4C59"/>
          <w:sz w:val="21"/>
          <w:szCs w:val="21"/>
        </w:rPr>
        <w:t xml:space="preserve">Todo el cliente web.</w:t>
      </w:r>
    </w:p>
    <w:p>
      <w:pPr>
        <w:spacing w:after="160"/>
      </w:pPr>
    </w:p>
    <w:tbl>
      <w:tblPr>
        <w:tblW w:type="dxa" w:w="9360"/>
        <w:tblBorders>
          <w:top w:val="none"/>
          <w:left w:val="single" w:color="B4551F" w:sz="18"/>
          <w:bottom w:val="none"/>
          <w:right w:val="none"/>
          <w:insideH w:val="none"/>
          <w:insideV w:val="none"/>
        </w:tblBorders>
      </w:tblPr>
      <w:tblGrid>
        <w:gridCol w:w="9360"/>
      </w:tblGrid>
      <w:tr>
        <w:tc>
          <w:tcPr>
            <w:tcW w:type="dxa" w:w="9360"/>
            <w:shd w:fill="FBF3EC" w:val="clear"/>
            <w:tcMar>
              <w:top w:type="dxa" w:w="140"/>
              <w:left w:type="dxa" w:w="180"/>
              <w:bottom w:type="dxa" w:w="140"/>
              <w:right w:type="dxa" w:w="180"/>
            </w:tcMar>
          </w:tcPr>
          <w:p>
            <w:pPr>
              <w:spacing w:after="60"/>
            </w:pPr>
            <w:r>
              <w:rPr>
                <w:b/>
                <w:bCs/>
                <w:color w:val="B4551F"/>
                <w:sz w:val="20"/>
                <w:szCs w:val="20"/>
              </w:rPr>
              <w:t xml:space="preserve">Por qué esta división</w:t>
            </w:r>
          </w:p>
          <w:p>
            <w:pPr>
              <w:spacing w:after="0" w:line="268"/>
            </w:pPr>
            <w:r>
              <w:rPr>
                <w:color w:val="3E4C59"/>
                <w:sz w:val="20"/>
                <w:szCs w:val="20"/>
              </w:rPr>
              <w:t xml:space="preserve">Lo que se generó es configuración de infraestructura: necesaria, pero no es lo que la asignatura evalúa. Lo que construimos nosotros es la arquitectura de microservicios, que sí lo es. Regalar el docker-compose no quita aprendizaje de la materia; regalar ms-auth sí lo quitaría.</w:t>
            </w:r>
          </w:p>
        </w:tc>
      </w:tr>
    </w:tbl>
    <w:p>
      <w:pPr>
        <w:pStyle w:val="Heading1"/>
        <w:pBdr>
          <w:bottom w:val="single" w:color="1F6F63" w:sz="12" w:space="6"/>
        </w:pBdr>
        <w:spacing w:after="160" w:before="360"/>
      </w:pPr>
      <w:r>
        <w:rPr>
          <w:b/>
          <w:bCs/>
          <w:color w:val="12233F"/>
          <w:sz w:val="30"/>
          <w:szCs w:val="30"/>
        </w:rPr>
        <w:t xml:space="preserve">2. Conceptos que hay que tener claros</w:t>
      </w:r>
    </w:p>
    <w:p>
      <w:pPr>
        <w:pStyle w:val="Heading2"/>
        <w:spacing w:after="110" w:before="260"/>
      </w:pPr>
      <w:r>
        <w:rPr>
          <w:b/>
          <w:bCs/>
          <w:color w:val="1F6F63"/>
          <w:sz w:val="24"/>
          <w:szCs w:val="24"/>
        </w:rPr>
        <w:t xml:space="preserve">2.1 Qué es Docker Compose</w:t>
      </w:r>
    </w:p>
    <w:p>
      <w:pPr>
        <w:spacing w:after="120" w:line="276"/>
      </w:pPr>
      <w:r>
        <w:rPr>
          <w:color w:val="3E4C59"/>
          <w:sz w:val="21"/>
          <w:szCs w:val="21"/>
        </w:rPr>
        <w:t xml:space="preserve">Docker permite empaquetar una aplicación con todo lo que necesita para correr —su versión de Java, sus librerías, su configuración— en algo llamado contenedor. Un contenedor corre igual en cualquier máquina, lo que elimina el clásico «en mi computadora sí funciona».</w:t>
      </w:r>
    </w:p>
    <w:p>
      <w:pPr>
        <w:spacing w:after="120" w:line="276"/>
      </w:pPr>
      <w:r>
        <w:rPr>
          <w:color w:val="3E4C59"/>
          <w:sz w:val="21"/>
          <w:szCs w:val="21"/>
        </w:rPr>
        <w:t xml:space="preserve">El problema es que nuestro sistema no es un contenedor: son diez. Levantarlos uno por uno, en el orden correcto, con las variables correctas, es inviable manualmente.</w:t>
      </w:r>
    </w:p>
    <w:p>
      <w:pPr>
        <w:spacing w:after="120" w:line="276"/>
      </w:pPr>
      <w:r>
        <w:rPr>
          <w:b/>
          <w:bCs/>
          <w:color w:val="12233F"/>
          <w:sz w:val="21"/>
          <w:szCs w:val="21"/>
        </w:rPr>
        <w:t xml:space="preserve">Docker Compose </w:t>
      </w:r>
      <w:r>
        <w:rPr>
          <w:color w:val="3E4C59"/>
          <w:sz w:val="21"/>
          <w:szCs w:val="21"/>
        </w:rPr>
        <w:t xml:space="preserve">resuelve eso: un archivo describe todos los contenedores, cómo se conectan y en qué orden arrancan. Una instrucción los levanta todos.</w:t>
      </w:r>
    </w:p>
    <w:p>
      <w:pPr>
        <w:pStyle w:val="Heading2"/>
        <w:spacing w:after="110" w:before="260"/>
      </w:pPr>
      <w:r>
        <w:rPr>
          <w:b/>
          <w:bCs/>
          <w:color w:val="1F6F63"/>
          <w:sz w:val="24"/>
          <w:szCs w:val="24"/>
        </w:rPr>
        <w:t xml:space="preserve">2.2 Imagen contra contenedor</w:t>
      </w:r>
    </w:p>
    <w:p>
      <w:pPr>
        <w:spacing w:after="120" w:line="276"/>
      </w:pPr>
      <w:r>
        <w:rPr>
          <w:color w:val="3E4C59"/>
          <w:sz w:val="21"/>
          <w:szCs w:val="21"/>
        </w:rPr>
        <w:t xml:space="preserve">Es la confusión más común al empezar, y conviene resolverla de entrada.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2233F" w:val="clear"/>
            <w:tcMar>
              <w:top w:type="dxa" w:w="90"/>
              <w:left w:type="dxa" w:w="120"/>
              <w:bottom w:type="dxa" w:w="90"/>
              <w:right w:type="dxa" w:w="120"/>
            </w:tcMar>
          </w:tcPr>
          <w:p>
            <w:r>
              <w:rPr>
                <w:b/>
                <w:bCs/>
                <w:color w:val="FFFFFF"/>
                <w:sz w:val="19"/>
                <w:szCs w:val="19"/>
              </w:rPr>
              <w:t xml:space="preserve">Concepto</w:t>
            </w:r>
          </w:p>
        </w:tc>
        <w:tc>
          <w:tcPr>
            <w:tcW w:type="dxa" w:w="7160"/>
            <w:shd w:fill="12233F" w:val="clear"/>
            <w:tcMar>
              <w:top w:type="dxa" w:w="90"/>
              <w:left w:type="dxa" w:w="120"/>
              <w:bottom w:type="dxa" w:w="90"/>
              <w:right w:type="dxa" w:w="120"/>
            </w:tcMar>
          </w:tcPr>
          <w:p>
            <w:r>
              <w:rPr>
                <w:b/>
                <w:bCs/>
                <w:color w:val="FFFFFF"/>
                <w:sz w:val="19"/>
                <w:szCs w:val="19"/>
              </w:rPr>
              <w:t xml:space="preserve">Qué es</w:t>
            </w:r>
          </w:p>
        </w:tc>
      </w:tr>
      <w:tr>
        <w:tc>
          <w:tcPr>
            <w:tcW w:type="dxa" w:w="2200"/>
            <w:tcMar>
              <w:top w:type="dxa" w:w="90"/>
              <w:left w:type="dxa" w:w="120"/>
              <w:bottom w:type="dxa" w:w="90"/>
              <w:right w:type="dxa" w:w="120"/>
            </w:tcMar>
          </w:tcPr>
          <w:p>
            <w:pPr>
              <w:spacing w:line="268"/>
            </w:pPr>
            <w:r>
              <w:rPr>
                <w:color w:val="3E4C59"/>
                <w:sz w:val="19"/>
                <w:szCs w:val="19"/>
              </w:rPr>
              <w:t xml:space="preserve">Imagen</w:t>
            </w:r>
          </w:p>
        </w:tc>
        <w:tc>
          <w:tcPr>
            <w:tcW w:type="dxa" w:w="7160"/>
            <w:tcMar>
              <w:top w:type="dxa" w:w="90"/>
              <w:left w:type="dxa" w:w="120"/>
              <w:bottom w:type="dxa" w:w="90"/>
              <w:right w:type="dxa" w:w="120"/>
            </w:tcMar>
          </w:tcPr>
          <w:p>
            <w:pPr>
              <w:spacing w:line="268"/>
            </w:pPr>
            <w:r>
              <w:rPr>
                <w:color w:val="3E4C59"/>
                <w:sz w:val="19"/>
                <w:szCs w:val="19"/>
              </w:rPr>
              <w:t xml:space="preserve">La plantilla. Como una clase en programación orientada a objetos. Se descarga o se construye una vez.</w:t>
            </w:r>
          </w:p>
        </w:tc>
      </w:tr>
      <w:tr>
        <w:tc>
          <w:tcPr>
            <w:tcW w:type="dxa" w:w="2200"/>
            <w:shd w:fill="F7F9FA" w:val="clear"/>
            <w:tcMar>
              <w:top w:type="dxa" w:w="90"/>
              <w:left w:type="dxa" w:w="120"/>
              <w:bottom w:type="dxa" w:w="90"/>
              <w:right w:type="dxa" w:w="120"/>
            </w:tcMar>
          </w:tcPr>
          <w:p>
            <w:pPr>
              <w:spacing w:line="268"/>
            </w:pPr>
            <w:r>
              <w:rPr>
                <w:color w:val="3E4C59"/>
                <w:sz w:val="19"/>
                <w:szCs w:val="19"/>
              </w:rPr>
              <w:t xml:space="preserve">Contenedor</w:t>
            </w:r>
          </w:p>
        </w:tc>
        <w:tc>
          <w:tcPr>
            <w:tcW w:type="dxa" w:w="7160"/>
            <w:shd w:fill="F7F9FA" w:val="clear"/>
            <w:tcMar>
              <w:top w:type="dxa" w:w="90"/>
              <w:left w:type="dxa" w:w="120"/>
              <w:bottom w:type="dxa" w:w="90"/>
              <w:right w:type="dxa" w:w="120"/>
            </w:tcMar>
          </w:tcPr>
          <w:p>
            <w:pPr>
              <w:spacing w:line="268"/>
            </w:pPr>
            <w:r>
              <w:rPr>
                <w:color w:val="3E4C59"/>
                <w:sz w:val="19"/>
                <w:szCs w:val="19"/>
              </w:rPr>
              <w:t xml:space="preserve">Una instancia corriendo de esa imagen. Como un objeto. De una misma imagen se pueden crear varios contenedores.</w:t>
            </w:r>
          </w:p>
        </w:tc>
      </w:tr>
    </w:tbl>
    <w:p>
      <w:pPr>
        <w:spacing w:after="100"/>
      </w:pPr>
    </w:p>
    <w:p>
      <w:pPr>
        <w:spacing w:after="120" w:line="276"/>
      </w:pPr>
      <w:r>
        <w:rPr>
          <w:color w:val="3E4C59"/>
          <w:sz w:val="21"/>
          <w:szCs w:val="21"/>
        </w:rPr>
        <w:t xml:space="preserve">En nuestro archivo, mongo:7 es una imagen que Docker descarga de internet. El contenedor monpoint-mongodb es la instancia que corre en nuestra máquina.</w:t>
      </w:r>
    </w:p>
    <w:p>
      <w:pPr>
        <w:pStyle w:val="Heading2"/>
        <w:spacing w:after="110" w:before="260"/>
      </w:pPr>
      <w:r>
        <w:rPr>
          <w:b/>
          <w:bCs/>
          <w:color w:val="1F6F63"/>
          <w:sz w:val="24"/>
          <w:szCs w:val="24"/>
        </w:rPr>
        <w:t xml:space="preserve">2.3 Volúmenes: por qué los datos no se borran</w:t>
      </w:r>
    </w:p>
    <w:p>
      <w:pPr>
        <w:spacing w:after="120" w:line="276"/>
      </w:pPr>
      <w:r>
        <w:rPr>
          <w:color w:val="3E4C59"/>
          <w:sz w:val="21"/>
          <w:szCs w:val="21"/>
        </w:rPr>
        <w:t xml:space="preserve">Un contenedor es efímero por diseño: cuando se elimina, todo lo que escribió dentro desaparece. Eso sería un problema para una base de datos.</w:t>
      </w:r>
    </w:p>
    <w:p>
      <w:pPr>
        <w:spacing w:after="120" w:line="276"/>
      </w:pPr>
      <w:r>
        <w:rPr>
          <w:b/>
          <w:bCs/>
          <w:color w:val="12233F"/>
          <w:sz w:val="21"/>
          <w:szCs w:val="21"/>
        </w:rPr>
        <w:t xml:space="preserve">Un volumen </w:t>
      </w:r>
      <w:r>
        <w:rPr>
          <w:color w:val="3E4C59"/>
          <w:sz w:val="21"/>
          <w:szCs w:val="21"/>
        </w:rPr>
        <w:t xml:space="preserve">es almacenamiento que vive fuera del contenedor y sobrevive a su eliminación. Por eso la base de datos conserva los datos entre reinicios.</w:t>
      </w:r>
    </w:p>
    <w:p>
      <w:pPr>
        <w:spacing w:after="80"/>
      </w:pPr>
    </w:p>
    <w:p>
      <w:pPr>
        <w:shd w:fill="EEF1F4" w:val="clear"/>
        <w:spacing w:after="140" w:before="100"/>
        <w:ind w:left="215" w:right="215"/>
      </w:pPr>
      <w:r>
        <w:rPr>
          <w:rFonts w:ascii="Consolas" w:cs="Consolas" w:eastAsia="Consolas" w:hAnsi="Consolas"/>
          <w:color w:val="3E4C59"/>
          <w:sz w:val="17"/>
          <w:szCs w:val="17"/>
        </w:rPr>
        <w:t xml:space="preserve">docker compose down       # detiene los contenedores, CONSERVA los datos</w:t>
      </w:r>
      <w:r>
        <w:br/>
      </w:r>
      <w:r>
        <w:rPr>
          <w:rFonts w:ascii="Consolas" w:cs="Consolas" w:eastAsia="Consolas" w:hAnsi="Consolas"/>
          <w:color w:val="3E4C59"/>
          <w:sz w:val="17"/>
          <w:szCs w:val="17"/>
        </w:rPr>
        <w:t xml:space="preserve">docker compose down -v    # detiene los contenedores y BORRA los datos</w:t>
      </w:r>
    </w:p>
    <w:p>
      <w:pPr>
        <w:spacing w:after="120" w:line="276"/>
      </w:pPr>
      <w:r>
        <w:rPr>
          <w:color w:val="3E4C59"/>
          <w:sz w:val="21"/>
          <w:szCs w:val="21"/>
        </w:rPr>
        <w:t xml:space="preserve">La segunda es la forma de verificar que el sistema arranca limpio desde cero, que es uno de los criterios del Control 1.</w:t>
      </w:r>
    </w:p>
    <w:p>
      <w:pPr>
        <w:pStyle w:val="Heading2"/>
        <w:spacing w:after="110" w:before="260"/>
      </w:pPr>
      <w:r>
        <w:rPr>
          <w:b/>
          <w:bCs/>
          <w:color w:val="1F6F63"/>
          <w:sz w:val="24"/>
          <w:szCs w:val="24"/>
        </w:rPr>
        <w:t xml:space="preserve">2.4 La red interna y por qué no hay direcciones IP</w:t>
      </w:r>
    </w:p>
    <w:p>
      <w:pPr>
        <w:spacing w:after="120" w:line="276"/>
      </w:pPr>
      <w:r>
        <w:rPr>
          <w:color w:val="3E4C59"/>
          <w:sz w:val="21"/>
          <w:szCs w:val="21"/>
        </w:rPr>
        <w:t xml:space="preserve">Todos los contenedores comparten una red llamada monpoint-red. Dentro de esa red, Docker resuelve los nombres de servicio automáticamente: escribir «mongodb» como dirección funciona y siempre apunta al contenedor correcto, aunque su IP cambie al reiniciarse.</w:t>
      </w:r>
    </w:p>
    <w:p>
      <w:pPr>
        <w:spacing w:after="120" w:line="276"/>
      </w:pPr>
      <w:r>
        <w:rPr>
          <w:color w:val="3E4C59"/>
          <w:sz w:val="21"/>
          <w:szCs w:val="21"/>
        </w:rPr>
        <w:t xml:space="preserve">Por eso ninguna cadena de conexión del proyecto lleva una dirección IP. Si alguien escribe una, está introduciendo un error que aparecerá al reiniciar.</w:t>
      </w:r>
    </w:p>
    <w:p>
      <w:pPr>
        <w:spacing w:after="120"/>
      </w:pPr>
    </w:p>
    <w:tbl>
      <w:tblPr>
        <w:tblW w:type="dxa" w:w="9360"/>
        <w:tblBorders>
          <w:top w:val="none"/>
          <w:left w:val="single" w:color="B4551F" w:sz="18"/>
          <w:bottom w:val="none"/>
          <w:right w:val="none"/>
          <w:insideH w:val="none"/>
          <w:insideV w:val="none"/>
        </w:tblBorders>
      </w:tblPr>
      <w:tblGrid>
        <w:gridCol w:w="9360"/>
      </w:tblGrid>
      <w:tr>
        <w:tc>
          <w:tcPr>
            <w:tcW w:type="dxa" w:w="9360"/>
            <w:shd w:fill="FBF3EC" w:val="clear"/>
            <w:tcMar>
              <w:top w:type="dxa" w:w="140"/>
              <w:left w:type="dxa" w:w="180"/>
              <w:bottom w:type="dxa" w:w="140"/>
              <w:right w:type="dxa" w:w="180"/>
            </w:tcMar>
          </w:tcPr>
          <w:p>
            <w:pPr>
              <w:spacing w:after="60"/>
            </w:pPr>
            <w:r>
              <w:rPr>
                <w:b/>
                <w:bCs/>
                <w:color w:val="B4551F"/>
                <w:sz w:val="20"/>
                <w:szCs w:val="20"/>
              </w:rPr>
              <w:t xml:space="preserve">Detalle que importa</w:t>
            </w:r>
          </w:p>
          <w:p>
            <w:pPr>
              <w:spacing w:after="0" w:line="268"/>
            </w:pPr>
            <w:r>
              <w:rPr>
                <w:color w:val="3E4C59"/>
                <w:sz w:val="20"/>
                <w:szCs w:val="20"/>
              </w:rPr>
              <w:t xml:space="preserve">Desde fuera de la red solo se alcanza lo que publica puertos. El Gateway los publica; los microservicios no. Esto significa que la regla «todo pasa por el Gateway» no depende de que la respetemos: está impuesta por la configuración de red. Si alguien intenta llamar a ms-inventario directamente desde el navegador, no va a poder.</w:t>
            </w:r>
          </w:p>
        </w:tc>
      </w:tr>
    </w:tbl>
    <w:p>
      <w:pPr>
        <w:pageBreakBefore/>
      </w:pPr>
    </w:p>
    <w:p>
      <w:pPr>
        <w:pStyle w:val="Heading1"/>
        <w:pBdr>
          <w:bottom w:val="single" w:color="1F6F63" w:sz="12" w:space="6"/>
        </w:pBdr>
        <w:spacing w:after="160" w:before="360"/>
      </w:pPr>
      <w:r>
        <w:rPr>
          <w:b/>
          <w:bCs/>
          <w:color w:val="12233F"/>
          <w:sz w:val="30"/>
          <w:szCs w:val="30"/>
        </w:rPr>
        <w:t xml:space="preserve">3. MongoDB: la decisión más importante</w:t>
      </w:r>
    </w:p>
    <w:p>
      <w:pPr>
        <w:pStyle w:val="Heading2"/>
        <w:spacing w:after="110" w:before="260"/>
      </w:pPr>
      <w:r>
        <w:rPr>
          <w:b/>
          <w:bCs/>
          <w:color w:val="1F6F63"/>
          <w:sz w:val="24"/>
          <w:szCs w:val="24"/>
        </w:rPr>
        <w:t xml:space="preserve">3.1 El replica set de un nodo</w:t>
      </w:r>
    </w:p>
    <w:p>
      <w:pPr>
        <w:spacing w:after="120" w:line="276"/>
      </w:pPr>
      <w:r>
        <w:rPr>
          <w:color w:val="3E4C59"/>
          <w:sz w:val="21"/>
          <w:szCs w:val="21"/>
        </w:rPr>
        <w:t xml:space="preserve">En el archivo, MongoDB arranca con este parámetro:</w:t>
      </w:r>
    </w:p>
    <w:p>
      <w:pPr>
        <w:shd w:fill="EEF1F4" w:val="clear"/>
        <w:spacing w:after="140" w:before="100"/>
        <w:ind w:left="215" w:right="215"/>
      </w:pPr>
      <w:r>
        <w:rPr>
          <w:rFonts w:ascii="Consolas" w:cs="Consolas" w:eastAsia="Consolas" w:hAnsi="Consolas"/>
          <w:color w:val="3E4C59"/>
          <w:sz w:val="17"/>
          <w:szCs w:val="17"/>
        </w:rPr>
        <w:t xml:space="preserve">command: ["--replSet", "rs0", "--bind_ip_all"]</w:t>
      </w:r>
    </w:p>
    <w:p>
      <w:pPr>
        <w:spacing w:after="120" w:line="276"/>
      </w:pPr>
      <w:r>
        <w:rPr>
          <w:color w:val="3E4C59"/>
          <w:sz w:val="21"/>
          <w:szCs w:val="21"/>
        </w:rPr>
        <w:t xml:space="preserve">Un replica set es normalmente un grupo de servidores que mantienen copias de los mismos datos, para que si uno falla los demás sigan funcionando. Nosotros configuramos uno de un solo nodo, lo cual parece absurdo: no hay copias ni tolerancia a fallos.</w:t>
      </w:r>
    </w:p>
    <w:p>
      <w:pPr>
        <w:spacing w:after="100"/>
      </w:pPr>
    </w:p>
    <w:tbl>
      <w:tblPr>
        <w:tblW w:type="dxa" w:w="9360"/>
        <w:tblBorders>
          <w:top w:val="none"/>
          <w:left w:val="single" w:color="B4551F" w:sz="18"/>
          <w:bottom w:val="none"/>
          <w:right w:val="none"/>
          <w:insideH w:val="none"/>
          <w:insideV w:val="none"/>
        </w:tblBorders>
      </w:tblPr>
      <w:tblGrid>
        <w:gridCol w:w="9360"/>
      </w:tblGrid>
      <w:tr>
        <w:tc>
          <w:tcPr>
            <w:tcW w:type="dxa" w:w="9360"/>
            <w:shd w:fill="FBF3EC" w:val="clear"/>
            <w:tcMar>
              <w:top w:type="dxa" w:w="140"/>
              <w:left w:type="dxa" w:w="180"/>
              <w:bottom w:type="dxa" w:w="140"/>
              <w:right w:type="dxa" w:w="180"/>
            </w:tcMar>
          </w:tcPr>
          <w:p>
            <w:pPr>
              <w:spacing w:after="60"/>
            </w:pPr>
            <w:r>
              <w:rPr>
                <w:b/>
                <w:bCs/>
                <w:color w:val="B4551F"/>
                <w:sz w:val="20"/>
                <w:szCs w:val="20"/>
              </w:rPr>
              <w:t xml:space="preserve">La razón real, y es la pregunta más probable sobre esta configuración</w:t>
            </w:r>
          </w:p>
          <w:p>
            <w:pPr>
              <w:spacing w:after="0" w:line="268"/>
            </w:pPr>
            <w:r>
              <w:rPr>
                <w:color w:val="3E4C59"/>
                <w:sz w:val="20"/>
                <w:szCs w:val="20"/>
              </w:rPr>
              <w:t xml:space="preserve">MongoDB solo permite transacciones multidocumento sobre un replica set. Una instancia independiente las rechaza con el error «Transaction numbers are only allowed on a replica set member or mongos». No es una limitación de rendimiento: es una restricción del motor.</w:t>
            </w:r>
          </w:p>
        </w:tc>
      </w:tr>
    </w:tbl>
    <w:p>
      <w:pPr>
        <w:spacing w:after="120"/>
      </w:pPr>
    </w:p>
    <w:p>
      <w:pPr>
        <w:spacing w:after="80" w:before="180"/>
      </w:pPr>
      <w:r>
        <w:rPr>
          <w:b/>
          <w:bCs/>
          <w:color w:val="3E4C59"/>
          <w:sz w:val="21"/>
          <w:szCs w:val="21"/>
        </w:rPr>
        <w:t xml:space="preserve">Por qué necesitamos transacciones</w:t>
      </w:r>
    </w:p>
    <w:p>
      <w:pPr>
        <w:spacing w:after="120" w:line="276"/>
      </w:pPr>
      <w:r>
        <w:rPr>
          <w:color w:val="3E4C59"/>
          <w:sz w:val="21"/>
          <w:szCs w:val="21"/>
        </w:rPr>
        <w:t xml:space="preserve">La tarea 4.3, la reserva atómica de existencias, tiene que descontar varias líneas de producto en una sola operación: o se descuentan todas, o ninguna.</w:t>
      </w:r>
    </w:p>
    <w:p>
      <w:pPr>
        <w:spacing w:after="120" w:line="276"/>
      </w:pPr>
      <w:r>
        <w:rPr>
          <w:color w:val="3E4C59"/>
          <w:sz w:val="21"/>
          <w:szCs w:val="21"/>
        </w:rPr>
        <w:t xml:space="preserve">Sin transacción, imaginemos una venta de tres productos donde el tercero no tiene existencia suficiente. Los dos primeros ya se descontaron, el tercero falla, y el inventario queda con dos productos descontados de una venta que nunca ocurrió. Con transacción, el fallo del tercero revierte automáticamente los dos anteriores.</w:t>
      </w:r>
    </w:p>
    <w:p>
      <w:pPr>
        <w:spacing w:after="120" w:line="276"/>
      </w:pPr>
      <w:r>
        <w:rPr>
          <w:color w:val="3E4C59"/>
          <w:sz w:val="21"/>
          <w:szCs w:val="21"/>
        </w:rPr>
        <w:t xml:space="preserve">Esa es la razón de todo esto: sin replica set no hay transacción, y sin transacción la reserva de stock queda mal implementada.</w:t>
      </w:r>
    </w:p>
    <w:p>
      <w:pPr>
        <w:pStyle w:val="Heading2"/>
        <w:spacing w:after="110" w:before="260"/>
      </w:pPr>
      <w:r>
        <w:rPr>
          <w:b/>
          <w:bCs/>
          <w:color w:val="1F6F63"/>
          <w:sz w:val="24"/>
          <w:szCs w:val="24"/>
        </w:rPr>
        <w:t xml:space="preserve">3.2 Por qué rs.initiate() está en el healthcheck</w:t>
      </w:r>
    </w:p>
    <w:p>
      <w:pPr>
        <w:spacing w:after="120" w:line="276"/>
      </w:pPr>
      <w:r>
        <w:rPr>
          <w:color w:val="3E4C59"/>
          <w:sz w:val="21"/>
          <w:szCs w:val="21"/>
        </w:rPr>
        <w:t xml:space="preserve">Para que un replica set funcione hay que inicializarlo una vez con la instrucción rs.initiate(). El lugar natural para ponerlo sería el guion de inicialización, junto a la creación de las bases. No funciona ahí.</w:t>
      </w:r>
    </w:p>
    <w:p>
      <w:pPr>
        <w:spacing w:after="120" w:line="276"/>
      </w:pPr>
      <w:r>
        <w:rPr>
          <w:b/>
          <w:bCs/>
          <w:color w:val="12233F"/>
          <w:sz w:val="21"/>
          <w:szCs w:val="21"/>
        </w:rPr>
        <w:t xml:space="preserve">El motivo: </w:t>
      </w:r>
      <w:r>
        <w:rPr>
          <w:color w:val="3E4C59"/>
          <w:sz w:val="21"/>
          <w:szCs w:val="21"/>
        </w:rPr>
        <w:t xml:space="preserve">los guiones de /docker-entrypoint-initdb.d se ejecutan antes de que el servidor esté listo para aceptar operaciones de replica set. Se ejecuta demasiado pronto y falla.</w:t>
      </w:r>
    </w:p>
    <w:p>
      <w:pPr>
        <w:spacing w:after="120" w:line="276"/>
      </w:pPr>
      <w:r>
        <w:rPr>
          <w:color w:val="3E4C59"/>
          <w:sz w:val="21"/>
          <w:szCs w:val="21"/>
        </w:rPr>
        <w:t xml:space="preserve">La solución es ejecutarlo desde el healthcheck, que Docker reintenta cada diez segundos hasta que responde correctamente. El primer intento puede fallar; el segundo o el tercero funciona.</w:t>
      </w:r>
    </w:p>
    <w:p>
      <w:pPr>
        <w:spacing w:after="100"/>
      </w:pPr>
    </w:p>
    <w:p>
      <w:pPr>
        <w:shd w:fill="EEF1F4" w:val="clear"/>
        <w:spacing w:after="140" w:before="100"/>
        <w:ind w:left="215" w:right="215"/>
      </w:pPr>
      <w:r>
        <w:rPr>
          <w:rFonts w:ascii="Consolas" w:cs="Consolas" w:eastAsia="Consolas" w:hAnsi="Consolas"/>
          <w:color w:val="3E4C59"/>
          <w:sz w:val="17"/>
          <w:szCs w:val="17"/>
        </w:rPr>
        <w:t xml:space="preserve">test: &gt;</w:t>
      </w:r>
      <w:r>
        <w:br/>
      </w:r>
      <w:r>
        <w:rPr>
          <w:rFonts w:ascii="Consolas" w:cs="Consolas" w:eastAsia="Consolas" w:hAnsi="Consolas"/>
          <w:color w:val="3E4C59"/>
          <w:sz w:val="17"/>
          <w:szCs w:val="17"/>
        </w:rPr>
        <w:t xml:space="preserve">  mongosh --quiet ...</w:t>
      </w:r>
      <w:r>
        <w:br/>
      </w:r>
      <w:r>
        <w:rPr>
          <w:rFonts w:ascii="Consolas" w:cs="Consolas" w:eastAsia="Consolas" w:hAnsi="Consolas"/>
          <w:color w:val="3E4C59"/>
          <w:sz w:val="17"/>
          <w:szCs w:val="17"/>
        </w:rPr>
        <w:t xml:space="preserve">  --eval "try { rs.initiate({...}) } catch(e) {} ; db.adminCommand('ping').ok"</w:t>
      </w:r>
    </w:p>
    <w:p>
      <w:pPr>
        <w:spacing w:after="120" w:line="276"/>
      </w:pPr>
      <w:r>
        <w:rPr>
          <w:color w:val="3E4C59"/>
          <w:sz w:val="21"/>
          <w:szCs w:val="21"/>
        </w:rPr>
        <w:t xml:space="preserve">El try/catch está porque en los arranques posteriores el replica set ya existe y rs.initiate() lanza un error. Lo capturamos y lo ignoramos: lo que importa es la respuesta del ping final, que indica si MongoDB está listo.</w:t>
      </w:r>
    </w:p>
    <w:p>
      <w:pPr>
        <w:pStyle w:val="Heading2"/>
        <w:spacing w:after="110" w:before="260"/>
      </w:pPr>
      <w:r>
        <w:rPr>
          <w:b/>
          <w:bCs/>
          <w:color w:val="1F6F63"/>
          <w:sz w:val="24"/>
          <w:szCs w:val="24"/>
        </w:rPr>
        <w:t xml:space="preserve">3.3 Una base y un usuario por servicio</w:t>
      </w:r>
    </w:p>
    <w:p>
      <w:pPr>
        <w:spacing w:after="120" w:line="276"/>
      </w:pPr>
      <w:r>
        <w:rPr>
          <w:color w:val="3E4C59"/>
          <w:sz w:val="21"/>
          <w:szCs w:val="21"/>
        </w:rPr>
        <w:t xml:space="preserve">El guion de inicialización crea seis bases de datos y seis usuarios. Cada usuario tiene el rol readWrite únicamente sobre su propia 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2233F" w:val="clear"/>
            <w:tcMar>
              <w:top w:type="dxa" w:w="90"/>
              <w:left w:type="dxa" w:w="120"/>
              <w:bottom w:type="dxa" w:w="90"/>
              <w:right w:type="dxa" w:w="120"/>
            </w:tcMar>
          </w:tcPr>
          <w:p>
            <w:r>
              <w:rPr>
                <w:b/>
                <w:bCs/>
                <w:color w:val="FFFFFF"/>
                <w:sz w:val="19"/>
                <w:szCs w:val="19"/>
              </w:rPr>
              <w:t xml:space="preserve">Servicio</w:t>
            </w:r>
          </w:p>
        </w:tc>
        <w:tc>
          <w:tcPr>
            <w:tcW w:type="dxa" w:w="6460"/>
            <w:shd w:fill="12233F" w:val="clear"/>
            <w:tcMar>
              <w:top w:type="dxa" w:w="90"/>
              <w:left w:type="dxa" w:w="120"/>
              <w:bottom w:type="dxa" w:w="90"/>
              <w:right w:type="dxa" w:w="120"/>
            </w:tcMar>
          </w:tcPr>
          <w:p>
            <w:r>
              <w:rPr>
                <w:b/>
                <w:bCs/>
                <w:color w:val="FFFFFF"/>
                <w:sz w:val="19"/>
                <w:szCs w:val="19"/>
              </w:rPr>
              <w:t xml:space="preserve">Base de datos y usuario</w:t>
            </w:r>
          </w:p>
        </w:tc>
      </w:tr>
      <w:tr>
        <w:tc>
          <w:tcPr>
            <w:tcW w:type="dxa" w:w="2900"/>
            <w:tcMar>
              <w:top w:type="dxa" w:w="90"/>
              <w:left w:type="dxa" w:w="120"/>
              <w:bottom w:type="dxa" w:w="90"/>
              <w:right w:type="dxa" w:w="120"/>
            </w:tcMar>
          </w:tcPr>
          <w:p>
            <w:pPr>
              <w:spacing w:line="268"/>
            </w:pPr>
            <w:r>
              <w:rPr>
                <w:color w:val="3E4C59"/>
                <w:sz w:val="19"/>
                <w:szCs w:val="19"/>
              </w:rPr>
              <w:t xml:space="preserve">ms-auth</w:t>
            </w:r>
          </w:p>
        </w:tc>
        <w:tc>
          <w:tcPr>
            <w:tcW w:type="dxa" w:w="6460"/>
            <w:tcMar>
              <w:top w:type="dxa" w:w="90"/>
              <w:left w:type="dxa" w:w="120"/>
              <w:bottom w:type="dxa" w:w="90"/>
              <w:right w:type="dxa" w:w="120"/>
            </w:tcMar>
          </w:tcPr>
          <w:p>
            <w:pPr>
              <w:spacing w:line="268"/>
            </w:pPr>
            <w:r>
              <w:rPr>
                <w:color w:val="3E4C59"/>
                <w:sz w:val="19"/>
                <w:szCs w:val="19"/>
              </w:rPr>
              <w:t xml:space="preserve">auth_db · auth_user</w:t>
            </w:r>
          </w:p>
        </w:tc>
      </w:tr>
      <w:tr>
        <w:tc>
          <w:tcPr>
            <w:tcW w:type="dxa" w:w="2900"/>
            <w:shd w:fill="F7F9FA" w:val="clear"/>
            <w:tcMar>
              <w:top w:type="dxa" w:w="90"/>
              <w:left w:type="dxa" w:w="120"/>
              <w:bottom w:type="dxa" w:w="90"/>
              <w:right w:type="dxa" w:w="120"/>
            </w:tcMar>
          </w:tcPr>
          <w:p>
            <w:pPr>
              <w:spacing w:line="268"/>
            </w:pPr>
            <w:r>
              <w:rPr>
                <w:color w:val="3E4C59"/>
                <w:sz w:val="19"/>
                <w:szCs w:val="19"/>
              </w:rPr>
              <w:t xml:space="preserve">ms-inventario</w:t>
            </w:r>
          </w:p>
        </w:tc>
        <w:tc>
          <w:tcPr>
            <w:tcW w:type="dxa" w:w="6460"/>
            <w:shd w:fill="F7F9FA" w:val="clear"/>
            <w:tcMar>
              <w:top w:type="dxa" w:w="90"/>
              <w:left w:type="dxa" w:w="120"/>
              <w:bottom w:type="dxa" w:w="90"/>
              <w:right w:type="dxa" w:w="120"/>
            </w:tcMar>
          </w:tcPr>
          <w:p>
            <w:pPr>
              <w:spacing w:line="268"/>
            </w:pPr>
            <w:r>
              <w:rPr>
                <w:color w:val="3E4C59"/>
                <w:sz w:val="19"/>
                <w:szCs w:val="19"/>
              </w:rPr>
              <w:t xml:space="preserve">inventario_db · inventario_user</w:t>
            </w:r>
          </w:p>
        </w:tc>
      </w:tr>
      <w:tr>
        <w:tc>
          <w:tcPr>
            <w:tcW w:type="dxa" w:w="2900"/>
            <w:tcMar>
              <w:top w:type="dxa" w:w="90"/>
              <w:left w:type="dxa" w:w="120"/>
              <w:bottom w:type="dxa" w:w="90"/>
              <w:right w:type="dxa" w:w="120"/>
            </w:tcMar>
          </w:tcPr>
          <w:p>
            <w:pPr>
              <w:spacing w:line="268"/>
            </w:pPr>
            <w:r>
              <w:rPr>
                <w:color w:val="3E4C59"/>
                <w:sz w:val="19"/>
                <w:szCs w:val="19"/>
              </w:rPr>
              <w:t xml:space="preserve">ms-ventas</w:t>
            </w:r>
          </w:p>
        </w:tc>
        <w:tc>
          <w:tcPr>
            <w:tcW w:type="dxa" w:w="6460"/>
            <w:tcMar>
              <w:top w:type="dxa" w:w="90"/>
              <w:left w:type="dxa" w:w="120"/>
              <w:bottom w:type="dxa" w:w="90"/>
              <w:right w:type="dxa" w:w="120"/>
            </w:tcMar>
          </w:tcPr>
          <w:p>
            <w:pPr>
              <w:spacing w:line="268"/>
            </w:pPr>
            <w:r>
              <w:rPr>
                <w:color w:val="3E4C59"/>
                <w:sz w:val="19"/>
                <w:szCs w:val="19"/>
              </w:rPr>
              <w:t xml:space="preserve">ventas_db · ventas_user</w:t>
            </w:r>
          </w:p>
        </w:tc>
      </w:tr>
      <w:tr>
        <w:tc>
          <w:tcPr>
            <w:tcW w:type="dxa" w:w="2900"/>
            <w:shd w:fill="F7F9FA" w:val="clear"/>
            <w:tcMar>
              <w:top w:type="dxa" w:w="90"/>
              <w:left w:type="dxa" w:w="120"/>
              <w:bottom w:type="dxa" w:w="90"/>
              <w:right w:type="dxa" w:w="120"/>
            </w:tcMar>
          </w:tcPr>
          <w:p>
            <w:pPr>
              <w:spacing w:line="268"/>
            </w:pPr>
            <w:r>
              <w:rPr>
                <w:color w:val="3E4C59"/>
                <w:sz w:val="19"/>
                <w:szCs w:val="19"/>
              </w:rPr>
              <w:t xml:space="preserve">ms-clientes</w:t>
            </w:r>
          </w:p>
        </w:tc>
        <w:tc>
          <w:tcPr>
            <w:tcW w:type="dxa" w:w="6460"/>
            <w:shd w:fill="F7F9FA" w:val="clear"/>
            <w:tcMar>
              <w:top w:type="dxa" w:w="90"/>
              <w:left w:type="dxa" w:w="120"/>
              <w:bottom w:type="dxa" w:w="90"/>
              <w:right w:type="dxa" w:w="120"/>
            </w:tcMar>
          </w:tcPr>
          <w:p>
            <w:pPr>
              <w:spacing w:line="268"/>
            </w:pPr>
            <w:r>
              <w:rPr>
                <w:color w:val="3E4C59"/>
                <w:sz w:val="19"/>
                <w:szCs w:val="19"/>
              </w:rPr>
              <w:t xml:space="preserve">clientes_db · clientes_user</w:t>
            </w:r>
          </w:p>
        </w:tc>
      </w:tr>
      <w:tr>
        <w:tc>
          <w:tcPr>
            <w:tcW w:type="dxa" w:w="2900"/>
            <w:tcMar>
              <w:top w:type="dxa" w:w="90"/>
              <w:left w:type="dxa" w:w="120"/>
              <w:bottom w:type="dxa" w:w="90"/>
              <w:right w:type="dxa" w:w="120"/>
            </w:tcMar>
          </w:tcPr>
          <w:p>
            <w:pPr>
              <w:spacing w:line="268"/>
            </w:pPr>
            <w:r>
              <w:rPr>
                <w:color w:val="3E4C59"/>
                <w:sz w:val="19"/>
                <w:szCs w:val="19"/>
              </w:rPr>
              <w:t xml:space="preserve">ms-reportes</w:t>
            </w:r>
          </w:p>
        </w:tc>
        <w:tc>
          <w:tcPr>
            <w:tcW w:type="dxa" w:w="6460"/>
            <w:tcMar>
              <w:top w:type="dxa" w:w="90"/>
              <w:left w:type="dxa" w:w="120"/>
              <w:bottom w:type="dxa" w:w="90"/>
              <w:right w:type="dxa" w:w="120"/>
            </w:tcMar>
          </w:tcPr>
          <w:p>
            <w:pPr>
              <w:spacing w:line="268"/>
            </w:pPr>
            <w:r>
              <w:rPr>
                <w:color w:val="3E4C59"/>
                <w:sz w:val="19"/>
                <w:szCs w:val="19"/>
              </w:rPr>
              <w:t xml:space="preserve">reportes_db · reportes_user</w:t>
            </w:r>
          </w:p>
        </w:tc>
      </w:tr>
      <w:tr>
        <w:tc>
          <w:tcPr>
            <w:tcW w:type="dxa" w:w="2900"/>
            <w:shd w:fill="F7F9FA" w:val="clear"/>
            <w:tcMar>
              <w:top w:type="dxa" w:w="90"/>
              <w:left w:type="dxa" w:w="120"/>
              <w:bottom w:type="dxa" w:w="90"/>
              <w:right w:type="dxa" w:w="120"/>
            </w:tcMar>
          </w:tcPr>
          <w:p>
            <w:pPr>
              <w:spacing w:line="268"/>
            </w:pPr>
            <w:r>
              <w:rPr>
                <w:color w:val="3E4C59"/>
                <w:sz w:val="19"/>
                <w:szCs w:val="19"/>
              </w:rPr>
              <w:t xml:space="preserve">ms-notificaciones</w:t>
            </w:r>
          </w:p>
        </w:tc>
        <w:tc>
          <w:tcPr>
            <w:tcW w:type="dxa" w:w="6460"/>
            <w:shd w:fill="F7F9FA" w:val="clear"/>
            <w:tcMar>
              <w:top w:type="dxa" w:w="90"/>
              <w:left w:type="dxa" w:w="120"/>
              <w:bottom w:type="dxa" w:w="90"/>
              <w:right w:type="dxa" w:w="120"/>
            </w:tcMar>
          </w:tcPr>
          <w:p>
            <w:pPr>
              <w:spacing w:line="268"/>
            </w:pPr>
            <w:r>
              <w:rPr>
                <w:color w:val="3E4C59"/>
                <w:sz w:val="19"/>
                <w:szCs w:val="19"/>
              </w:rPr>
              <w:t xml:space="preserve">notificaciones_db · notificaciones_user</w:t>
            </w:r>
          </w:p>
        </w:tc>
      </w:tr>
    </w:tbl>
    <w:p>
      <w:pPr>
        <w:spacing w:after="140"/>
      </w:pPr>
    </w:p>
    <w:p>
      <w:pPr>
        <w:spacing w:after="120" w:line="276"/>
      </w:pPr>
      <w:r>
        <w:rPr>
          <w:color w:val="3E4C59"/>
          <w:sz w:val="21"/>
          <w:szCs w:val="21"/>
        </w:rPr>
        <w:t xml:space="preserve">Esto implementa el patrón «base de datos privada por servicio», uno de los principios centrales de la arquitectura de microservicios: un servicio nunca lee ni escribe directamente en los datos de otro.</w:t>
      </w:r>
    </w:p>
    <w:p>
      <w:pPr>
        <w:spacing w:after="100"/>
      </w:pPr>
    </w:p>
    <w:tbl>
      <w:tblPr>
        <w:tblW w:type="dxa" w:w="9360"/>
        <w:tblBorders>
          <w:top w:val="none"/>
          <w:left w:val="single" w:color="6B7683" w:sz="18"/>
          <w:bottom w:val="none"/>
          <w:right w:val="none"/>
          <w:insideH w:val="none"/>
          <w:insideV w:val="none"/>
        </w:tblBorders>
      </w:tblPr>
      <w:tblGrid>
        <w:gridCol w:w="9360"/>
      </w:tblGrid>
      <w:tr>
        <w:tc>
          <w:tcPr>
            <w:tcW w:type="dxa" w:w="9360"/>
            <w:shd w:fill="EEF1F4" w:val="clear"/>
            <w:tcMar>
              <w:top w:type="dxa" w:w="140"/>
              <w:left w:type="dxa" w:w="180"/>
              <w:bottom w:type="dxa" w:w="140"/>
              <w:right w:type="dxa" w:w="180"/>
            </w:tcMar>
          </w:tcPr>
          <w:p>
            <w:pPr>
              <w:spacing w:after="60"/>
            </w:pPr>
            <w:r>
              <w:rPr>
                <w:b/>
                <w:bCs/>
                <w:color w:val="6B7683"/>
                <w:sz w:val="20"/>
                <w:szCs w:val="20"/>
              </w:rPr>
              <w:t xml:space="preserve">Matiz que conviene saber explicar</w:t>
            </w:r>
          </w:p>
          <w:p>
            <w:pPr>
              <w:spacing w:after="0" w:line="268"/>
            </w:pPr>
            <w:r>
              <w:rPr>
                <w:color w:val="3E4C59"/>
                <w:sz w:val="20"/>
                <w:szCs w:val="20"/>
              </w:rPr>
              <w:t xml:space="preserve">El patrón canónico usa una instancia de base de datos separada por servicio. Nosotros usamos una sola instancia con seis bases lógicas, y el aislamiento se logra por permisos. Es una variante reconocida, con una limitación real que documentamos en el cierre: el aislamiento es lógico, no físico, y la instancia única es un punto de falla compartido. Elegimos así porque seis instancias de MongoDB en laptops de estudiantes consumirían memoria sin aportar nada que importe en este proyecto.</w:t>
            </w:r>
          </w:p>
        </w:tc>
      </w:tr>
    </w:tbl>
    <w:p>
      <w:pPr>
        <w:pageBreakBefore/>
      </w:pPr>
    </w:p>
    <w:p>
      <w:pPr>
        <w:pStyle w:val="Heading1"/>
        <w:pBdr>
          <w:bottom w:val="single" w:color="1F6F63" w:sz="12" w:space="6"/>
        </w:pBdr>
        <w:spacing w:after="160" w:before="360"/>
      </w:pPr>
      <w:r>
        <w:rPr>
          <w:b/>
          <w:bCs/>
          <w:color w:val="12233F"/>
          <w:sz w:val="30"/>
          <w:szCs w:val="30"/>
        </w:rPr>
        <w:t xml:space="preserve">4. Orden de arranque: el error que no perdona</w:t>
      </w:r>
    </w:p>
    <w:p>
      <w:pPr>
        <w:pStyle w:val="Heading2"/>
        <w:spacing w:after="110" w:before="260"/>
      </w:pPr>
      <w:r>
        <w:rPr>
          <w:b/>
          <w:bCs/>
          <w:color w:val="1F6F63"/>
          <w:sz w:val="24"/>
          <w:szCs w:val="24"/>
        </w:rPr>
        <w:t xml:space="preserve">4.1 El problema</w:t>
      </w:r>
    </w:p>
    <w:p>
      <w:pPr>
        <w:spacing w:after="120" w:line="276"/>
      </w:pPr>
      <w:r>
        <w:rPr>
          <w:color w:val="3E4C59"/>
          <w:sz w:val="21"/>
          <w:szCs w:val="21"/>
        </w:rPr>
        <w:t xml:space="preserve">Los servicios necesitan que MongoDB y RabbitMQ estén listos antes de arrancar. Si un servicio intenta conectarse a una base que todavía no acepta conexiones, falla y se apaga.</w:t>
      </w:r>
    </w:p>
    <w:p>
      <w:pPr>
        <w:spacing w:after="120" w:line="276"/>
      </w:pPr>
      <w:r>
        <w:rPr>
          <w:color w:val="3E4C59"/>
          <w:sz w:val="21"/>
          <w:szCs w:val="21"/>
        </w:rPr>
        <w:t xml:space="preserve">Lo intuitivo es usar depends_on:</w:t>
      </w:r>
    </w:p>
    <w:p>
      <w:pPr>
        <w:shd w:fill="EEF1F4" w:val="clear"/>
        <w:spacing w:after="140" w:before="100"/>
        <w:ind w:left="215" w:right="215"/>
      </w:pPr>
      <w:r>
        <w:rPr>
          <w:rFonts w:ascii="Consolas" w:cs="Consolas" w:eastAsia="Consolas" w:hAnsi="Consolas"/>
          <w:color w:val="3E4C59"/>
          <w:sz w:val="17"/>
          <w:szCs w:val="17"/>
        </w:rPr>
        <w:t xml:space="preserve">depends_on:</w:t>
      </w:r>
      <w:r>
        <w:br/>
      </w:r>
      <w:r>
        <w:rPr>
          <w:rFonts w:ascii="Consolas" w:cs="Consolas" w:eastAsia="Consolas" w:hAnsi="Consolas"/>
          <w:color w:val="3E4C59"/>
          <w:sz w:val="17"/>
          <w:szCs w:val="17"/>
        </w:rPr>
        <w:t xml:space="preserve">  - mongodb        # INSUFICIENTE</w:t>
      </w:r>
    </w:p>
    <w:p>
      <w:pPr>
        <w:spacing w:after="80"/>
      </w:pPr>
    </w:p>
    <w:tbl>
      <w:tblPr>
        <w:tblW w:type="dxa" w:w="9360"/>
        <w:tblBorders>
          <w:top w:val="none"/>
          <w:left w:val="single" w:color="B4551F" w:sz="18"/>
          <w:bottom w:val="none"/>
          <w:right w:val="none"/>
          <w:insideH w:val="none"/>
          <w:insideV w:val="none"/>
        </w:tblBorders>
      </w:tblPr>
      <w:tblGrid>
        <w:gridCol w:w="9360"/>
      </w:tblGrid>
      <w:tr>
        <w:tc>
          <w:tcPr>
            <w:tcW w:type="dxa" w:w="9360"/>
            <w:shd w:fill="FBF3EC" w:val="clear"/>
            <w:tcMar>
              <w:top w:type="dxa" w:w="140"/>
              <w:left w:type="dxa" w:w="180"/>
              <w:bottom w:type="dxa" w:w="140"/>
              <w:right w:type="dxa" w:w="180"/>
            </w:tcMar>
          </w:tcPr>
          <w:p>
            <w:pPr>
              <w:spacing w:after="60"/>
            </w:pPr>
            <w:r>
              <w:rPr>
                <w:b/>
                <w:bCs/>
                <w:color w:val="B4551F"/>
                <w:sz w:val="20"/>
                <w:szCs w:val="20"/>
              </w:rPr>
              <w:t xml:space="preserve">Por qué eso no basta</w:t>
            </w:r>
          </w:p>
          <w:p>
            <w:pPr>
              <w:spacing w:after="0" w:line="268"/>
            </w:pPr>
            <w:r>
              <w:rPr>
                <w:color w:val="3E4C59"/>
                <w:sz w:val="20"/>
                <w:szCs w:val="20"/>
              </w:rPr>
              <w:t xml:space="preserve">depends_on en su forma simple solo espera a que el contenedor EXISTA, no a que el servicio DENTRO del contenedor esté listo. MongoDB tarda entre diez y veinte segundos en aceptar conexiones después de que el contenedor arranca. En esa ventana, los servicios que dependen de él fallan.</w:t>
            </w:r>
          </w:p>
        </w:tc>
      </w:tr>
    </w:tbl>
    <w:p>
      <w:pPr>
        <w:spacing w:after="120"/>
      </w:pPr>
    </w:p>
    <w:p>
      <w:pPr>
        <w:pStyle w:val="Heading2"/>
        <w:spacing w:after="110" w:before="260"/>
      </w:pPr>
      <w:r>
        <w:rPr>
          <w:b/>
          <w:bCs/>
          <w:color w:val="1F6F63"/>
          <w:sz w:val="24"/>
          <w:szCs w:val="24"/>
        </w:rPr>
        <w:t xml:space="preserve">4.2 Por qué es el peor tipo de error</w:t>
      </w:r>
    </w:p>
    <w:p>
      <w:pPr>
        <w:spacing w:after="120" w:line="276"/>
      </w:pPr>
      <w:r>
        <w:rPr>
          <w:color w:val="3E4C59"/>
          <w:sz w:val="21"/>
          <w:szCs w:val="21"/>
        </w:rPr>
        <w:t xml:space="preserve">El fallo es intermitente. En una máquina rápida puede funcionar; en una lenta, no. El mismo comando produce resultados distintos en momentos distintos.</w:t>
      </w:r>
    </w:p>
    <w:p>
      <w:pPr>
        <w:spacing w:after="120" w:line="276"/>
      </w:pPr>
      <w:r>
        <w:rPr>
          <w:color w:val="3E4C59"/>
          <w:sz w:val="21"/>
          <w:szCs w:val="21"/>
        </w:rPr>
        <w:t xml:space="preserve">Eso hace que se pierda mucho tiempo buscando el problema en el lugar equivocado: uno revisa la cadena de conexión, las credenciales, la configuración de Spring, cuando el problema es de sincronización y no de configuración.</w:t>
      </w:r>
    </w:p>
    <w:p>
      <w:pPr>
        <w:pStyle w:val="Heading2"/>
        <w:spacing w:after="110" w:before="260"/>
      </w:pPr>
      <w:r>
        <w:rPr>
          <w:b/>
          <w:bCs/>
          <w:color w:val="1F6F63"/>
          <w:sz w:val="24"/>
          <w:szCs w:val="24"/>
        </w:rPr>
        <w:t xml:space="preserve">4.3 La solución: healthcheck más condición</w:t>
      </w:r>
    </w:p>
    <w:p>
      <w:pPr>
        <w:spacing w:after="120" w:line="276"/>
      </w:pPr>
      <w:r>
        <w:rPr>
          <w:color w:val="3E4C59"/>
          <w:sz w:val="21"/>
          <w:szCs w:val="21"/>
        </w:rPr>
        <w:t xml:space="preserve">Un healthcheck es una instrucción que Docker ejecuta periódicamente para saber si un servicio está realmente listo. Mientras falla, el contenedor se marca como «starting»; cuando responde bien, pasa a «healthy».</w:t>
      </w:r>
    </w:p>
    <w:p>
      <w:pPr>
        <w:shd w:fill="EEF1F4" w:val="clear"/>
        <w:spacing w:after="140" w:before="100"/>
        <w:ind w:left="215" w:right="215"/>
      </w:pPr>
      <w:r>
        <w:rPr>
          <w:rFonts w:ascii="Consolas" w:cs="Consolas" w:eastAsia="Consolas" w:hAnsi="Consolas"/>
          <w:color w:val="3E4C59"/>
          <w:sz w:val="17"/>
          <w:szCs w:val="17"/>
        </w:rPr>
        <w:t xml:space="preserve">depends_on:</w:t>
      </w:r>
      <w:r>
        <w:br/>
      </w:r>
      <w:r>
        <w:rPr>
          <w:rFonts w:ascii="Consolas" w:cs="Consolas" w:eastAsia="Consolas" w:hAnsi="Consolas"/>
          <w:color w:val="3E4C59"/>
          <w:sz w:val="17"/>
          <w:szCs w:val="17"/>
        </w:rPr>
        <w:t xml:space="preserve">  mongodb:</w:t>
      </w:r>
      <w:r>
        <w:br/>
      </w:r>
      <w:r>
        <w:rPr>
          <w:rFonts w:ascii="Consolas" w:cs="Consolas" w:eastAsia="Consolas" w:hAnsi="Consolas"/>
          <w:color w:val="3E4C59"/>
          <w:sz w:val="17"/>
          <w:szCs w:val="17"/>
        </w:rPr>
        <w:t xml:space="preserve">    condition: service_healthy    # espera a que esté LISTO, no solo creado</w:t>
      </w:r>
    </w:p>
    <w:p>
      <w:pPr>
        <w:spacing w:after="120" w:line="276"/>
      </w:pPr>
      <w:r>
        <w:rPr>
          <w:color w:val="3E4C59"/>
          <w:sz w:val="21"/>
          <w:szCs w:val="21"/>
        </w:rPr>
        <w:t xml:space="preserve">Con esto el arranque es determinista: los servicios esperan de verdad, y el sistema levanta igual en cualquier máquina.</w:t>
      </w:r>
    </w:p>
    <w:p>
      <w:pPr>
        <w:spacing w:after="120"/>
      </w:pPr>
    </w:p>
    <w:p>
      <w:pPr>
        <w:spacing w:after="80" w:before="180"/>
      </w:pPr>
      <w:r>
        <w:rPr>
          <w:b/>
          <w:bCs/>
          <w:color w:val="3E4C59"/>
          <w:sz w:val="21"/>
          <w:szCs w:val="21"/>
        </w:rPr>
        <w:t xml:space="preserve">Cómo verificarlo</w:t>
      </w:r>
    </w:p>
    <w:p>
      <w:pPr>
        <w:shd w:fill="EEF1F4" w:val="clear"/>
        <w:spacing w:after="140" w:before="100"/>
        <w:ind w:left="215" w:right="215"/>
      </w:pPr>
      <w:r>
        <w:rPr>
          <w:rFonts w:ascii="Consolas" w:cs="Consolas" w:eastAsia="Consolas" w:hAnsi="Consolas"/>
          <w:color w:val="3E4C59"/>
          <w:sz w:val="17"/>
          <w:szCs w:val="17"/>
        </w:rPr>
        <w:t xml:space="preserve">docker compose ps</w:t>
      </w:r>
      <w:r>
        <w:br/>
      </w:r>
      <w:r>
        <w:rPr>
          <w:rFonts w:ascii="Consolas" w:cs="Consolas" w:eastAsia="Consolas" w:hAnsi="Consolas"/>
          <w:color w:val="3E4C59"/>
          <w:sz w:val="17"/>
          <w:szCs w:val="17"/>
        </w:rPr>
        <w:t xml:space="preserve"/>
      </w:r>
      <w:r>
        <w:br/>
      </w:r>
      <w:r>
        <w:rPr>
          <w:rFonts w:ascii="Consolas" w:cs="Consolas" w:eastAsia="Consolas" w:hAnsi="Consolas"/>
          <w:color w:val="3E4C59"/>
          <w:sz w:val="17"/>
          <w:szCs w:val="17"/>
        </w:rPr>
        <w:t xml:space="preserve"># La columna STATUS debe decir (healthy), no solo Up:</w:t>
      </w:r>
      <w:r>
        <w:br/>
      </w:r>
      <w:r>
        <w:rPr>
          <w:rFonts w:ascii="Consolas" w:cs="Consolas" w:eastAsia="Consolas" w:hAnsi="Consolas"/>
          <w:color w:val="3E4C59"/>
          <w:sz w:val="17"/>
          <w:szCs w:val="17"/>
        </w:rPr>
        <w:t xml:space="preserve">#   monpoint-mongodb   Up 2 minutes (healthy)</w:t>
      </w:r>
    </w:p>
    <w:p>
      <w:pPr>
        <w:pageBreakBefore/>
      </w:pPr>
    </w:p>
    <w:p>
      <w:pPr>
        <w:pStyle w:val="Heading1"/>
        <w:pBdr>
          <w:bottom w:val="single" w:color="1F6F63" w:sz="12" w:space="6"/>
        </w:pBdr>
        <w:spacing w:after="160" w:before="360"/>
      </w:pPr>
      <w:r>
        <w:rPr>
          <w:b/>
          <w:bCs/>
          <w:color w:val="12233F"/>
          <w:sz w:val="30"/>
          <w:szCs w:val="30"/>
        </w:rPr>
        <w:t xml:space="preserve">5. RabbitMQ y la comunicación por eventos</w:t>
      </w:r>
    </w:p>
    <w:p>
      <w:pPr>
        <w:pStyle w:val="Heading2"/>
        <w:spacing w:after="110" w:before="260"/>
      </w:pPr>
      <w:r>
        <w:rPr>
          <w:b/>
          <w:bCs/>
          <w:color w:val="1F6F63"/>
          <w:sz w:val="24"/>
          <w:szCs w:val="24"/>
        </w:rPr>
        <w:t xml:space="preserve">5.1 El cambio de mentalidad</w:t>
      </w:r>
    </w:p>
    <w:p>
      <w:pPr>
        <w:spacing w:after="120" w:line="276"/>
      </w:pPr>
      <w:r>
        <w:rPr>
          <w:color w:val="3E4C59"/>
          <w:sz w:val="21"/>
          <w:szCs w:val="21"/>
        </w:rPr>
        <w:t xml:space="preserve">En MonPointV2, registrar una venta era una secuencia de llamadas a funciones dentro del mismo proceso: buscar el producto, validar la existencia, descontar, guardar la venta. Todo ocurría de forma inmediata y en orden.</w:t>
      </w:r>
    </w:p>
    <w:p>
      <w:pPr>
        <w:spacing w:after="120" w:line="276"/>
      </w:pPr>
      <w:r>
        <w:rPr>
          <w:color w:val="3E4C59"/>
          <w:sz w:val="21"/>
          <w:szCs w:val="21"/>
        </w:rPr>
        <w:t xml:space="preserve">En la arquitectura nueva eso ya no existe. ms-ventas no puede llamar a ms-inventario: publica un evento diciendo «se creó una venta» y sigue con lo suyo. ms-inventario lo recibe cuando le llega, hace su parte, y publica su propio evento con el resultado.</w:t>
      </w:r>
    </w:p>
    <w:p>
      <w:pPr>
        <w:spacing w:after="100"/>
      </w:pPr>
    </w:p>
    <w:tbl>
      <w:tblPr>
        <w:tblW w:type="dxa" w:w="9360"/>
        <w:tblBorders>
          <w:top w:val="none"/>
          <w:left w:val="single" w:color="B4551F" w:sz="18"/>
          <w:bottom w:val="none"/>
          <w:right w:val="none"/>
          <w:insideH w:val="none"/>
          <w:insideV w:val="none"/>
        </w:tblBorders>
      </w:tblPr>
      <w:tblGrid>
        <w:gridCol w:w="9360"/>
      </w:tblGrid>
      <w:tr>
        <w:tc>
          <w:tcPr>
            <w:tcW w:type="dxa" w:w="9360"/>
            <w:shd w:fill="FBF3EC" w:val="clear"/>
            <w:tcMar>
              <w:top w:type="dxa" w:w="140"/>
              <w:left w:type="dxa" w:w="180"/>
              <w:bottom w:type="dxa" w:w="140"/>
              <w:right w:type="dxa" w:w="180"/>
            </w:tcMar>
          </w:tcPr>
          <w:p>
            <w:pPr>
              <w:spacing w:after="60"/>
            </w:pPr>
            <w:r>
              <w:rPr>
                <w:b/>
                <w:bCs/>
                <w:color w:val="B4551F"/>
                <w:sz w:val="20"/>
                <w:szCs w:val="20"/>
              </w:rPr>
              <w:t xml:space="preserve">La consecuencia visible para el usuario</w:t>
            </w:r>
          </w:p>
          <w:p>
            <w:pPr>
              <w:spacing w:after="0" w:line="268"/>
            </w:pPr>
            <w:r>
              <w:rPr>
                <w:color w:val="3E4C59"/>
                <w:sz w:val="20"/>
                <w:szCs w:val="20"/>
              </w:rPr>
              <w:t xml:space="preserve">La caja ya no recibe «venta registrada» al presionar Cobrar. Recibe «venta en proceso» con un folio, y el resultado llega poco después. Es la razón de que la pantalla de caja tenga que mostrar estados intermedios y de que el cliente consulte el estado repetidamente hasta que sea final.</w:t>
            </w:r>
          </w:p>
        </w:tc>
      </w:tr>
    </w:tbl>
    <w:p>
      <w:pPr>
        <w:pStyle w:val="Heading2"/>
        <w:spacing w:after="110" w:before="260"/>
      </w:pPr>
      <w:r>
        <w:rPr>
          <w:b/>
          <w:bCs/>
          <w:color w:val="1F6F63"/>
          <w:sz w:val="24"/>
          <w:szCs w:val="24"/>
        </w:rPr>
        <w:t xml:space="preserve">5.2 Qué es un broker</w:t>
      </w:r>
    </w:p>
    <w:p>
      <w:pPr>
        <w:spacing w:after="120" w:line="276"/>
      </w:pPr>
      <w:r>
        <w:rPr>
          <w:color w:val="3E4C59"/>
          <w:sz w:val="21"/>
          <w:szCs w:val="21"/>
        </w:rPr>
        <w:t xml:space="preserve">RabbitMQ es el intermediario. Los servicios no se hablan directamente: uno deja un mensaje en el broker y otro lo recoge. Ninguno de los dos necesita saber dónde está el otro, ni siquiera si está encendido.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2233F" w:val="clear"/>
            <w:tcMar>
              <w:top w:type="dxa" w:w="90"/>
              <w:left w:type="dxa" w:w="120"/>
              <w:bottom w:type="dxa" w:w="90"/>
              <w:right w:type="dxa" w:w="120"/>
            </w:tcMar>
          </w:tcPr>
          <w:p>
            <w:r>
              <w:rPr>
                <w:b/>
                <w:bCs/>
                <w:color w:val="FFFFFF"/>
                <w:sz w:val="19"/>
                <w:szCs w:val="19"/>
              </w:rPr>
              <w:t xml:space="preserve">Concepto</w:t>
            </w:r>
          </w:p>
        </w:tc>
        <w:tc>
          <w:tcPr>
            <w:tcW w:type="dxa" w:w="7160"/>
            <w:shd w:fill="12233F" w:val="clear"/>
            <w:tcMar>
              <w:top w:type="dxa" w:w="90"/>
              <w:left w:type="dxa" w:w="120"/>
              <w:bottom w:type="dxa" w:w="90"/>
              <w:right w:type="dxa" w:w="120"/>
            </w:tcMar>
          </w:tcPr>
          <w:p>
            <w:r>
              <w:rPr>
                <w:b/>
                <w:bCs/>
                <w:color w:val="FFFFFF"/>
                <w:sz w:val="19"/>
                <w:szCs w:val="19"/>
              </w:rPr>
              <w:t xml:space="preserve">Qué es</w:t>
            </w:r>
          </w:p>
        </w:tc>
      </w:tr>
      <w:tr>
        <w:tc>
          <w:tcPr>
            <w:tcW w:type="dxa" w:w="2200"/>
            <w:tcMar>
              <w:top w:type="dxa" w:w="90"/>
              <w:left w:type="dxa" w:w="120"/>
              <w:bottom w:type="dxa" w:w="90"/>
              <w:right w:type="dxa" w:w="120"/>
            </w:tcMar>
          </w:tcPr>
          <w:p>
            <w:pPr>
              <w:spacing w:line="268"/>
            </w:pPr>
            <w:r>
              <w:rPr>
                <w:color w:val="3E4C59"/>
                <w:sz w:val="19"/>
                <w:szCs w:val="19"/>
              </w:rPr>
              <w:t xml:space="preserve">Exchange</w:t>
            </w:r>
          </w:p>
        </w:tc>
        <w:tc>
          <w:tcPr>
            <w:tcW w:type="dxa" w:w="7160"/>
            <w:tcMar>
              <w:top w:type="dxa" w:w="90"/>
              <w:left w:type="dxa" w:w="120"/>
              <w:bottom w:type="dxa" w:w="90"/>
              <w:right w:type="dxa" w:w="120"/>
            </w:tcMar>
          </w:tcPr>
          <w:p>
            <w:pPr>
              <w:spacing w:line="268"/>
            </w:pPr>
            <w:r>
              <w:rPr>
                <w:color w:val="3E4C59"/>
                <w:sz w:val="19"/>
                <w:szCs w:val="19"/>
              </w:rPr>
              <w:t xml:space="preserve">El buzón donde se deja un mensaje. Tenemos tres: inventario.eventos, clientes.eventos, ventas.eventos.</w:t>
            </w:r>
          </w:p>
        </w:tc>
      </w:tr>
      <w:tr>
        <w:tc>
          <w:tcPr>
            <w:tcW w:type="dxa" w:w="2200"/>
            <w:shd w:fill="F7F9FA" w:val="clear"/>
            <w:tcMar>
              <w:top w:type="dxa" w:w="90"/>
              <w:left w:type="dxa" w:w="120"/>
              <w:bottom w:type="dxa" w:w="90"/>
              <w:right w:type="dxa" w:w="120"/>
            </w:tcMar>
          </w:tcPr>
          <w:p>
            <w:pPr>
              <w:spacing w:line="268"/>
            </w:pPr>
            <w:r>
              <w:rPr>
                <w:color w:val="3E4C59"/>
                <w:sz w:val="19"/>
                <w:szCs w:val="19"/>
              </w:rPr>
              <w:t xml:space="preserve">Cola</w:t>
            </w:r>
          </w:p>
        </w:tc>
        <w:tc>
          <w:tcPr>
            <w:tcW w:type="dxa" w:w="7160"/>
            <w:shd w:fill="F7F9FA" w:val="clear"/>
            <w:tcMar>
              <w:top w:type="dxa" w:w="90"/>
              <w:left w:type="dxa" w:w="120"/>
              <w:bottom w:type="dxa" w:w="90"/>
              <w:right w:type="dxa" w:w="120"/>
            </w:tcMar>
          </w:tcPr>
          <w:p>
            <w:pPr>
              <w:spacing w:line="268"/>
            </w:pPr>
            <w:r>
              <w:rPr>
                <w:color w:val="3E4C59"/>
                <w:sz w:val="19"/>
                <w:szCs w:val="19"/>
              </w:rPr>
              <w:t xml:space="preserve">Donde se acumulan los mensajes esperando a que un consumidor los recoja. Una por consumidor.</w:t>
            </w:r>
          </w:p>
        </w:tc>
      </w:tr>
      <w:tr>
        <w:tc>
          <w:tcPr>
            <w:tcW w:type="dxa" w:w="2200"/>
            <w:tcMar>
              <w:top w:type="dxa" w:w="90"/>
              <w:left w:type="dxa" w:w="120"/>
              <w:bottom w:type="dxa" w:w="90"/>
              <w:right w:type="dxa" w:w="120"/>
            </w:tcMar>
          </w:tcPr>
          <w:p>
            <w:pPr>
              <w:spacing w:line="268"/>
            </w:pPr>
            <w:r>
              <w:rPr>
                <w:color w:val="3E4C59"/>
                <w:sz w:val="19"/>
                <w:szCs w:val="19"/>
              </w:rPr>
              <w:t xml:space="preserve">Routing key</w:t>
            </w:r>
          </w:p>
        </w:tc>
        <w:tc>
          <w:tcPr>
            <w:tcW w:type="dxa" w:w="7160"/>
            <w:tcMar>
              <w:top w:type="dxa" w:w="90"/>
              <w:left w:type="dxa" w:w="120"/>
              <w:bottom w:type="dxa" w:w="90"/>
              <w:right w:type="dxa" w:w="120"/>
            </w:tcMar>
          </w:tcPr>
          <w:p>
            <w:pPr>
              <w:spacing w:line="268"/>
            </w:pPr>
            <w:r>
              <w:rPr>
                <w:color w:val="3E4C59"/>
                <w:sz w:val="19"/>
                <w:szCs w:val="19"/>
              </w:rPr>
              <w:t xml:space="preserve">La etiqueta del mensaje. El exchange la usa para decidir a qué colas lo entrega.</w:t>
            </w:r>
          </w:p>
        </w:tc>
      </w:tr>
      <w:tr>
        <w:tc>
          <w:tcPr>
            <w:tcW w:type="dxa" w:w="2200"/>
            <w:shd w:fill="F7F9FA" w:val="clear"/>
            <w:tcMar>
              <w:top w:type="dxa" w:w="90"/>
              <w:left w:type="dxa" w:w="120"/>
              <w:bottom w:type="dxa" w:w="90"/>
              <w:right w:type="dxa" w:w="120"/>
            </w:tcMar>
          </w:tcPr>
          <w:p>
            <w:pPr>
              <w:spacing w:line="268"/>
            </w:pPr>
            <w:r>
              <w:rPr>
                <w:color w:val="3E4C59"/>
                <w:sz w:val="19"/>
                <w:szCs w:val="19"/>
              </w:rPr>
              <w:t xml:space="preserve">Cola de fallidos</w:t>
            </w:r>
          </w:p>
        </w:tc>
        <w:tc>
          <w:tcPr>
            <w:tcW w:type="dxa" w:w="7160"/>
            <w:shd w:fill="F7F9FA" w:val="clear"/>
            <w:tcMar>
              <w:top w:type="dxa" w:w="90"/>
              <w:left w:type="dxa" w:w="120"/>
              <w:bottom w:type="dxa" w:w="90"/>
              <w:right w:type="dxa" w:w="120"/>
            </w:tcMar>
          </w:tcPr>
          <w:p>
            <w:pPr>
              <w:spacing w:line="268"/>
            </w:pPr>
            <w:r>
              <w:rPr>
                <w:color w:val="3E4C59"/>
                <w:sz w:val="19"/>
                <w:szCs w:val="19"/>
              </w:rPr>
              <w:t xml:space="preserve">A donde va un mensaje que falló todos sus reintentos, para que no bloquee la cola principal.</w:t>
            </w:r>
          </w:p>
        </w:tc>
      </w:tr>
    </w:tbl>
    <w:p>
      <w:pPr>
        <w:pStyle w:val="Heading2"/>
        <w:spacing w:after="110" w:before="260"/>
      </w:pPr>
      <w:r>
        <w:rPr>
          <w:b/>
          <w:bCs/>
          <w:color w:val="1F6F63"/>
          <w:sz w:val="24"/>
          <w:szCs w:val="24"/>
        </w:rPr>
        <w:t xml:space="preserve">5.3 La consola de administración</w:t>
      </w:r>
    </w:p>
    <w:p>
      <w:pPr>
        <w:spacing w:after="120" w:line="276"/>
      </w:pPr>
      <w:r>
        <w:rPr>
          <w:color w:val="3E4C59"/>
          <w:sz w:val="21"/>
          <w:szCs w:val="21"/>
        </w:rPr>
        <w:t xml:space="preserve">La imagen que usamos incluye una consola web en http://localhost:15672. Es la herramienta principal para depurar la mensajería: muestra los exchanges, las colas, cuántos mensajes hay acumulados y cuáles fallaron.</w:t>
      </w:r>
    </w:p>
    <w:p>
      <w:pPr>
        <w:spacing w:after="120" w:line="276"/>
      </w:pPr>
      <w:r>
        <w:rPr>
          <w:color w:val="3E4C59"/>
          <w:sz w:val="21"/>
          <w:szCs w:val="21"/>
        </w:rPr>
        <w:t xml:space="preserve">Cuando un evento no llega a su destino, ahí se ve exactamente dónde se quedó. También sirve para reentregar un mensaje manualmente, que es como se prueba la idempotencia en la tarea 6.1.</w:t>
      </w:r>
    </w:p>
    <w:p>
      <w:pPr>
        <w:pStyle w:val="Heading2"/>
        <w:spacing w:after="110" w:before="260"/>
      </w:pPr>
      <w:r>
        <w:rPr>
          <w:b/>
          <w:bCs/>
          <w:color w:val="1F6F63"/>
          <w:sz w:val="24"/>
          <w:szCs w:val="24"/>
        </w:rPr>
        <w:t xml:space="preserve">5.4 Por qué la topología no está en el docker-compose</w:t>
      </w:r>
    </w:p>
    <w:p>
      <w:pPr>
        <w:spacing w:after="120" w:line="276"/>
      </w:pPr>
      <w:r>
        <w:rPr>
          <w:color w:val="3E4C59"/>
          <w:sz w:val="21"/>
          <w:szCs w:val="21"/>
        </w:rPr>
        <w:t xml:space="preserve">Los exchanges y las colas podrían crearse a mano desde la consola. No lo hacemos, por dos razones.</w:t>
      </w:r>
    </w:p>
    <w:p>
      <w:pPr>
        <w:pStyle w:val="ListParagraph"/>
        <w:numPr>
          <w:ilvl w:val="0"/>
          <w:numId w:val="3"/>
        </w:numPr>
        <w:spacing w:after="70" w:line="276"/>
      </w:pPr>
      <w:r>
        <w:rPr>
          <w:color w:val="3E4C59"/>
          <w:sz w:val="21"/>
          <w:szCs w:val="21"/>
        </w:rPr>
        <w:t xml:space="preserve">Quedaría sin versionar: nadie sabría, leyendo el repositorio, qué colas existen.</w:t>
      </w:r>
    </w:p>
    <w:p>
      <w:pPr>
        <w:pStyle w:val="ListParagraph"/>
        <w:numPr>
          <w:ilvl w:val="0"/>
          <w:numId w:val="3"/>
        </w:numPr>
        <w:spacing w:after="70" w:line="276"/>
      </w:pPr>
      <w:r>
        <w:rPr>
          <w:color w:val="3E4C59"/>
          <w:sz w:val="21"/>
          <w:szCs w:val="21"/>
        </w:rPr>
        <w:t xml:space="preserve">Habría que recrearlas manualmente cada vez que alguien levante el sistema desde cero.</w:t>
      </w:r>
    </w:p>
    <w:p>
      <w:pPr>
        <w:spacing w:after="120" w:line="276"/>
      </w:pPr>
      <w:r>
        <w:rPr>
          <w:color w:val="3E4C59"/>
          <w:sz w:val="21"/>
          <w:szCs w:val="21"/>
        </w:rPr>
        <w:t xml:space="preserve">En su lugar las declaramos desde la configuración de Spring AMQP, en el código de los servicios. Así quedan en el repositorio y se recrean solas al arrancar. Esa es la tarea 2.1.</w:t>
      </w:r>
    </w:p>
    <w:p>
      <w:pPr>
        <w:pageBreakBefore/>
      </w:pPr>
    </w:p>
    <w:p>
      <w:pPr>
        <w:pStyle w:val="Heading1"/>
        <w:pBdr>
          <w:bottom w:val="single" w:color="1F6F63" w:sz="12" w:space="6"/>
        </w:pBdr>
        <w:spacing w:after="160" w:before="360"/>
      </w:pPr>
      <w:r>
        <w:rPr>
          <w:b/>
          <w:bCs/>
          <w:color w:val="12233F"/>
          <w:sz w:val="30"/>
          <w:szCs w:val="30"/>
        </w:rPr>
        <w:t xml:space="preserve">6. Seguridad: JWT, CORS y credenciales</w:t>
      </w:r>
    </w:p>
    <w:p>
      <w:pPr>
        <w:pStyle w:val="Heading2"/>
        <w:spacing w:after="110" w:before="260"/>
      </w:pPr>
      <w:r>
        <w:rPr>
          <w:b/>
          <w:bCs/>
          <w:color w:val="1F6F63"/>
          <w:sz w:val="24"/>
          <w:szCs w:val="24"/>
        </w:rPr>
        <w:t xml:space="preserve">6.1 Qué es un JWT</w:t>
      </w:r>
    </w:p>
    <w:p>
      <w:pPr>
        <w:spacing w:after="120" w:line="276"/>
      </w:pPr>
      <w:r>
        <w:rPr>
          <w:color w:val="3E4C59"/>
          <w:sz w:val="21"/>
          <w:szCs w:val="21"/>
        </w:rPr>
        <w:t xml:space="preserve">Un JSON Web Token es una cadena de texto firmada criptográficamente que contiene información sobre el usuario: su identificador, su correo, su rol y la fecha en que expira.</w:t>
      </w:r>
    </w:p>
    <w:p>
      <w:pPr>
        <w:spacing w:after="120" w:line="276"/>
      </w:pPr>
      <w:r>
        <w:rPr>
          <w:b/>
          <w:bCs/>
          <w:color w:val="12233F"/>
          <w:sz w:val="21"/>
          <w:szCs w:val="21"/>
        </w:rPr>
        <w:t xml:space="preserve">La propiedad clave: </w:t>
      </w:r>
      <w:r>
        <w:rPr>
          <w:color w:val="3E4C59"/>
          <w:sz w:val="21"/>
          <w:szCs w:val="21"/>
        </w:rPr>
        <w:t xml:space="preserve">cualquiera que tenga la clave de firma puede verificar que el token es auténtico y no fue alterado, sin necesidad de consultar a nadie.</w:t>
      </w:r>
    </w:p>
    <w:p>
      <w:pPr>
        <w:spacing w:after="100"/>
      </w:pPr>
    </w:p>
    <w:p>
      <w:pPr>
        <w:spacing w:after="80" w:before="180"/>
      </w:pPr>
      <w:r>
        <w:rPr>
          <w:b/>
          <w:bCs/>
          <w:color w:val="3E4C59"/>
          <w:sz w:val="21"/>
          <w:szCs w:val="21"/>
        </w:rPr>
        <w:t xml:space="preserve">Por qué el Gateway valida el token localmente</w:t>
      </w:r>
    </w:p>
    <w:p>
      <w:pPr>
        <w:spacing w:after="120" w:line="276"/>
      </w:pPr>
      <w:r>
        <w:rPr>
          <w:color w:val="3E4C59"/>
          <w:sz w:val="21"/>
          <w:szCs w:val="21"/>
        </w:rPr>
        <w:t xml:space="preserve">La alternativa sería que el Gateway preguntara a ms-auth en cada petición si el token es válido. Eso tendría dos problemas: añade una llamada de red a cada petición del sistema, y convierte a ms-auth en punto único de falla —si se cae, nada funciona, aunque los demás servicios estén sanos.</w:t>
      </w:r>
    </w:p>
    <w:p>
      <w:pPr>
        <w:spacing w:after="120" w:line="276"/>
      </w:pPr>
      <w:r>
        <w:rPr>
          <w:color w:val="3E4C59"/>
          <w:sz w:val="21"/>
          <w:szCs w:val="21"/>
        </w:rPr>
        <w:t xml:space="preserve">Como el Gateway tiene la misma clave con la que ms-auth firmó, puede verificar la firma por sí mismo. Por eso la variable JWT_SECRET aparece en los dos.</w:t>
      </w:r>
    </w:p>
    <w:p>
      <w:pPr>
        <w:spacing w:after="100"/>
      </w:pPr>
    </w:p>
    <w:tbl>
      <w:tblPr>
        <w:tblW w:type="dxa" w:w="9360"/>
        <w:tblBorders>
          <w:top w:val="none"/>
          <w:left w:val="single" w:color="6B7683" w:sz="18"/>
          <w:bottom w:val="none"/>
          <w:right w:val="none"/>
          <w:insideH w:val="none"/>
          <w:insideV w:val="none"/>
        </w:tblBorders>
      </w:tblPr>
      <w:tblGrid>
        <w:gridCol w:w="9360"/>
      </w:tblGrid>
      <w:tr>
        <w:tc>
          <w:tcPr>
            <w:tcW w:type="dxa" w:w="9360"/>
            <w:shd w:fill="EEF1F4" w:val="clear"/>
            <w:tcMar>
              <w:top w:type="dxa" w:w="140"/>
              <w:left w:type="dxa" w:w="180"/>
              <w:bottom w:type="dxa" w:w="140"/>
              <w:right w:type="dxa" w:w="180"/>
            </w:tcMar>
          </w:tcPr>
          <w:p>
            <w:pPr>
              <w:spacing w:after="60"/>
            </w:pPr>
            <w:r>
              <w:rPr>
                <w:b/>
                <w:bCs/>
                <w:color w:val="6B7683"/>
                <w:sz w:val="20"/>
                <w:szCs w:val="20"/>
              </w:rPr>
              <w:t xml:space="preserve">Limitación que documentamos</w:t>
            </w:r>
          </w:p>
          <w:p>
            <w:pPr>
              <w:spacing w:after="0" w:line="268"/>
            </w:pPr>
            <w:r>
              <w:rPr>
                <w:color w:val="3E4C59"/>
                <w:sz w:val="20"/>
                <w:szCs w:val="20"/>
              </w:rPr>
              <w:t xml:space="preserve">Al ser una clave compartida, quien la tenga puede emitir tokens válidos. Un sistema en producción usaría claves asimétricas: una privada para firmar, que solo tiene ms-auth, y una pública para verificar, que pueden tener todos. Elegimos la clave compartida por simplicidad, y lo declaramos como limitación conocida en el documento de cierre.</w:t>
            </w:r>
          </w:p>
        </w:tc>
      </w:tr>
    </w:tbl>
    <w:p>
      <w:pPr>
        <w:pStyle w:val="Heading2"/>
        <w:spacing w:after="110" w:before="260"/>
      </w:pPr>
      <w:r>
        <w:rPr>
          <w:b/>
          <w:bCs/>
          <w:color w:val="1F6F63"/>
          <w:sz w:val="24"/>
          <w:szCs w:val="24"/>
        </w:rPr>
        <w:t xml:space="preserve">6.2 Qué es CORS y por qué aparece ahora</w:t>
      </w:r>
    </w:p>
    <w:p>
      <w:pPr>
        <w:spacing w:after="120" w:line="276"/>
      </w:pPr>
      <w:r>
        <w:rPr>
          <w:color w:val="3E4C59"/>
          <w:sz w:val="21"/>
          <w:szCs w:val="21"/>
        </w:rPr>
        <w:t xml:space="preserve">Un navegador bloquea por omisión que una página servida desde un origen haga peticiones a otro distinto. Si el cliente web corre en localhost:5173 y el Gateway en localhost:8080, son orígenes distintos y el navegador bloquea la llamada.</w:t>
      </w:r>
    </w:p>
    <w:p>
      <w:pPr>
        <w:spacing w:after="120" w:line="276"/>
      </w:pPr>
      <w:r>
        <w:rPr>
          <w:color w:val="3E4C59"/>
          <w:sz w:val="21"/>
          <w:szCs w:val="21"/>
        </w:rPr>
        <w:t xml:space="preserve">Es una protección: evita que cualquier sitio web haga peticiones en tu nombre a otro donde tengas sesión abierta. Para permitirlo, el servidor tiene que declarar explícitamente desde qué orígenes acepta llamadas. Eso es CORS.</w:t>
      </w:r>
    </w:p>
    <w:p>
      <w:pPr>
        <w:spacing w:after="100"/>
      </w:pPr>
    </w:p>
    <w:p>
      <w:pPr>
        <w:spacing w:after="120" w:line="276"/>
      </w:pPr>
      <w:r>
        <w:rPr>
          <w:b/>
          <w:bCs/>
          <w:color w:val="12233F"/>
          <w:sz w:val="21"/>
          <w:szCs w:val="21"/>
        </w:rPr>
        <w:t xml:space="preserve">Por qué es nuevo: </w:t>
      </w:r>
      <w:r>
        <w:rPr>
          <w:color w:val="3E4C59"/>
          <w:sz w:val="21"/>
          <w:szCs w:val="21"/>
        </w:rPr>
        <w:t xml:space="preserve">MonPointV2 era una aplicación de escritorio. No había navegador, así que esta restricción no existía. Aparece únicamente porque el cliente pasa a ser web.</w:t>
      </w:r>
    </w:p>
    <w:p>
      <w:pPr>
        <w:spacing w:after="100"/>
      </w:pPr>
    </w:p>
    <w:tbl>
      <w:tblPr>
        <w:tblW w:type="dxa" w:w="9360"/>
        <w:tblBorders>
          <w:top w:val="none"/>
          <w:left w:val="single" w:color="B4551F" w:sz="18"/>
          <w:bottom w:val="none"/>
          <w:right w:val="none"/>
          <w:insideH w:val="none"/>
          <w:insideV w:val="none"/>
        </w:tblBorders>
      </w:tblPr>
      <w:tblGrid>
        <w:gridCol w:w="9360"/>
      </w:tblGrid>
      <w:tr>
        <w:tc>
          <w:tcPr>
            <w:tcW w:type="dxa" w:w="9360"/>
            <w:shd w:fill="FBF3EC" w:val="clear"/>
            <w:tcMar>
              <w:top w:type="dxa" w:w="140"/>
              <w:left w:type="dxa" w:w="180"/>
              <w:bottom w:type="dxa" w:w="140"/>
              <w:right w:type="dxa" w:w="180"/>
            </w:tcMar>
          </w:tcPr>
          <w:p>
            <w:pPr>
              <w:spacing w:after="60"/>
            </w:pPr>
            <w:r>
              <w:rPr>
                <w:b/>
                <w:bCs/>
                <w:color w:val="B4551F"/>
                <w:sz w:val="20"/>
                <w:szCs w:val="20"/>
              </w:rPr>
              <w:t xml:space="preserve">La trampa de CORS, que cuesta medio día si no se sabe</w:t>
            </w:r>
          </w:p>
          <w:p>
            <w:pPr>
              <w:spacing w:after="0" w:line="268"/>
            </w:pPr>
            <w:r>
              <w:rPr>
                <w:color w:val="3E4C59"/>
                <w:sz w:val="20"/>
                <w:szCs w:val="20"/>
              </w:rPr>
              <w:t xml:space="preserve">Si el filtro de JWT se ejecuta antes que el de CORS, la solicitud de verificación previa (OPTIONS) que el navegador envía sin token recibe un 401. El navegador entonces bloquea toda petición posterior. El síntoma es confuso: el cliente falla sin mensaje claro y parece un problema del cliente, cuando está en el orden de los filtros del Gateway.</w:t>
            </w:r>
          </w:p>
        </w:tc>
      </w:tr>
    </w:tbl>
    <w:p>
      <w:pPr>
        <w:pStyle w:val="Heading2"/>
        <w:spacing w:after="110" w:before="260"/>
      </w:pPr>
      <w:r>
        <w:rPr>
          <w:b/>
          <w:bCs/>
          <w:color w:val="1F6F63"/>
          <w:sz w:val="24"/>
          <w:szCs w:val="24"/>
        </w:rPr>
        <w:t xml:space="preserve">6.3 El archivo .env y por qué hay 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2233F" w:val="clear"/>
            <w:tcMar>
              <w:top w:type="dxa" w:w="90"/>
              <w:left w:type="dxa" w:w="120"/>
              <w:bottom w:type="dxa" w:w="90"/>
              <w:right w:type="dxa" w:w="120"/>
            </w:tcMar>
          </w:tcPr>
          <w:p>
            <w:r>
              <w:rPr>
                <w:b/>
                <w:bCs/>
                <w:color w:val="FFFFFF"/>
                <w:sz w:val="19"/>
                <w:szCs w:val="19"/>
              </w:rPr>
              <w:t xml:space="preserve">Archivo</w:t>
            </w:r>
          </w:p>
        </w:tc>
        <w:tc>
          <w:tcPr>
            <w:tcW w:type="dxa" w:w="7360"/>
            <w:shd w:fill="12233F" w:val="clear"/>
            <w:tcMar>
              <w:top w:type="dxa" w:w="90"/>
              <w:left w:type="dxa" w:w="120"/>
              <w:bottom w:type="dxa" w:w="90"/>
              <w:right w:type="dxa" w:w="120"/>
            </w:tcMar>
          </w:tcPr>
          <w:p>
            <w:r>
              <w:rPr>
                <w:b/>
                <w:bCs/>
                <w:color w:val="FFFFFF"/>
                <w:sz w:val="19"/>
                <w:szCs w:val="19"/>
              </w:rPr>
              <w:t xml:space="preserve">Contenido y destino</w:t>
            </w:r>
          </w:p>
        </w:tc>
      </w:tr>
      <w:tr>
        <w:tc>
          <w:tcPr>
            <w:tcW w:type="dxa" w:w="2000"/>
            <w:tcMar>
              <w:top w:type="dxa" w:w="90"/>
              <w:left w:type="dxa" w:w="120"/>
              <w:bottom w:type="dxa" w:w="90"/>
              <w:right w:type="dxa" w:w="120"/>
            </w:tcMar>
          </w:tcPr>
          <w:p>
            <w:pPr>
              <w:spacing w:line="268"/>
            </w:pPr>
            <w:r>
              <w:rPr>
                <w:color w:val="3E4C59"/>
                <w:sz w:val="19"/>
                <w:szCs w:val="19"/>
              </w:rPr>
              <w:t xml:space="preserve">.env.example</w:t>
            </w:r>
          </w:p>
        </w:tc>
        <w:tc>
          <w:tcPr>
            <w:tcW w:type="dxa" w:w="7360"/>
            <w:tcMar>
              <w:top w:type="dxa" w:w="90"/>
              <w:left w:type="dxa" w:w="120"/>
              <w:bottom w:type="dxa" w:w="90"/>
              <w:right w:type="dxa" w:w="120"/>
            </w:tcMar>
          </w:tcPr>
          <w:p>
            <w:pPr>
              <w:spacing w:line="268"/>
            </w:pPr>
            <w:r>
              <w:rPr>
                <w:color w:val="3E4C59"/>
                <w:sz w:val="19"/>
                <w:szCs w:val="19"/>
              </w:rPr>
              <w:t xml:space="preserve">Plantilla con valores ficticios. SÍ se versiona: sirve para saber qué variables hacen falta.</w:t>
            </w:r>
          </w:p>
        </w:tc>
      </w:tr>
      <w:tr>
        <w:tc>
          <w:tcPr>
            <w:tcW w:type="dxa" w:w="2000"/>
            <w:shd w:fill="F7F9FA" w:val="clear"/>
            <w:tcMar>
              <w:top w:type="dxa" w:w="90"/>
              <w:left w:type="dxa" w:w="120"/>
              <w:bottom w:type="dxa" w:w="90"/>
              <w:right w:type="dxa" w:w="120"/>
            </w:tcMar>
          </w:tcPr>
          <w:p>
            <w:pPr>
              <w:spacing w:line="268"/>
            </w:pPr>
            <w:r>
              <w:rPr>
                <w:color w:val="3E4C59"/>
                <w:sz w:val="19"/>
                <w:szCs w:val="19"/>
              </w:rPr>
              <w:t xml:space="preserve">.env</w:t>
            </w:r>
          </w:p>
        </w:tc>
        <w:tc>
          <w:tcPr>
            <w:tcW w:type="dxa" w:w="7360"/>
            <w:shd w:fill="F7F9FA" w:val="clear"/>
            <w:tcMar>
              <w:top w:type="dxa" w:w="90"/>
              <w:left w:type="dxa" w:w="120"/>
              <w:bottom w:type="dxa" w:w="90"/>
              <w:right w:type="dxa" w:w="120"/>
            </w:tcMar>
          </w:tcPr>
          <w:p>
            <w:pPr>
              <w:spacing w:line="268"/>
            </w:pPr>
            <w:r>
              <w:rPr>
                <w:color w:val="3E4C59"/>
                <w:sz w:val="19"/>
                <w:szCs w:val="19"/>
              </w:rPr>
              <w:t xml:space="preserve">Valores reales. NO se versiona: está en .gitignore.</w:t>
            </w:r>
          </w:p>
        </w:tc>
      </w:tr>
    </w:tbl>
    <w:p>
      <w:pPr>
        <w:spacing w:after="140"/>
      </w:pPr>
    </w:p>
    <w:p>
      <w:pPr>
        <w:spacing w:after="120" w:line="276"/>
      </w:pPr>
      <w:r>
        <w:rPr>
          <w:color w:val="3E4C59"/>
          <w:sz w:val="21"/>
          <w:szCs w:val="21"/>
        </w:rPr>
        <w:t xml:space="preserve">MonPointV2 tenía este problema exacto: la clave de cifrado y el archivo de sesión estaban en el repositorio, y el manual publicaba las credenciales de la base de datos. Es uno de los defectos que esta migración corrige, y está registrado en el Documento 02.</w:t>
      </w:r>
    </w:p>
    <w:p>
      <w:pPr>
        <w:pageBreakBefore/>
      </w:pPr>
    </w:p>
    <w:p>
      <w:pPr>
        <w:pStyle w:val="Heading1"/>
        <w:pBdr>
          <w:bottom w:val="single" w:color="1F6F63" w:sz="12" w:space="6"/>
        </w:pBdr>
        <w:spacing w:after="160" w:before="360"/>
      </w:pPr>
      <w:r>
        <w:rPr>
          <w:b/>
          <w:bCs/>
          <w:color w:val="12233F"/>
          <w:sz w:val="30"/>
          <w:szCs w:val="30"/>
        </w:rPr>
        <w:t xml:space="preserve">7. Preguntas que deberíamos poder responder</w:t>
      </w:r>
    </w:p>
    <w:p>
      <w:pPr>
        <w:spacing w:after="120" w:line="276"/>
      </w:pPr>
      <w:r>
        <w:rPr>
          <w:color w:val="3E4C59"/>
          <w:sz w:val="21"/>
          <w:szCs w:val="21"/>
        </w:rPr>
        <w:t xml:space="preserve">Si alguien nos pregunta por esta configuración, estas son las respuestas que importan. Vale la pena leerlas antes de la primera revisión.</w:t>
      </w:r>
    </w:p>
    <w:p>
      <w:pPr>
        <w:spacing w:after="140"/>
      </w:pPr>
    </w:p>
    <w:p>
      <w:pPr>
        <w:spacing w:after="80" w:before="180"/>
      </w:pPr>
      <w:r>
        <w:rPr>
          <w:b/>
          <w:bCs/>
          <w:color w:val="3E4C59"/>
          <w:sz w:val="21"/>
          <w:szCs w:val="21"/>
        </w:rPr>
        <w:t xml:space="preserve">¿Por qué un replica set si solo hay un nodo?</w:t>
      </w:r>
    </w:p>
    <w:p>
      <w:pPr>
        <w:spacing w:after="120" w:line="276"/>
      </w:pPr>
      <w:r>
        <w:rPr>
          <w:color w:val="3E4C59"/>
          <w:sz w:val="21"/>
          <w:szCs w:val="21"/>
        </w:rPr>
        <w:t xml:space="preserve">Porque MongoDB solo permite transacciones multidocumento sobre un replica set. La reserva atómica de existencias las necesita: tiene que descontar varias líneas o ninguna. Sin replica set, esa operación no se puede implementar correctamente.</w:t>
      </w:r>
    </w:p>
    <w:p>
      <w:pPr>
        <w:spacing w:after="80" w:before="180"/>
      </w:pPr>
      <w:r>
        <w:rPr>
          <w:b/>
          <w:bCs/>
          <w:color w:val="3E4C59"/>
          <w:sz w:val="21"/>
          <w:szCs w:val="21"/>
        </w:rPr>
        <w:t xml:space="preserve">¿Por qué una sola instancia de MongoDB y no seis?</w:t>
      </w:r>
    </w:p>
    <w:p>
      <w:pPr>
        <w:spacing w:after="120" w:line="276"/>
      </w:pPr>
      <w:r>
        <w:rPr>
          <w:color w:val="3E4C59"/>
          <w:sz w:val="21"/>
          <w:szCs w:val="21"/>
        </w:rPr>
        <w:t xml:space="preserve">Por costo de recursos. El patrón de base privada por servicio se cumple con aislamiento lógico: cada servicio tiene su base y un usuario sin permisos sobre las demás. La limitación es que el aislamiento no es físico y la instancia es un punto de falla compartido; está documentada en el cierre.</w:t>
      </w:r>
    </w:p>
    <w:p>
      <w:pPr>
        <w:spacing w:after="80" w:before="180"/>
      </w:pPr>
      <w:r>
        <w:rPr>
          <w:b/>
          <w:bCs/>
          <w:color w:val="3E4C59"/>
          <w:sz w:val="21"/>
          <w:szCs w:val="21"/>
        </w:rPr>
        <w:t xml:space="preserve">¿Por qué los microservicios no exponen puertos?</w:t>
      </w:r>
    </w:p>
    <w:p>
      <w:pPr>
        <w:spacing w:after="120" w:line="276"/>
      </w:pPr>
      <w:r>
        <w:rPr>
          <w:color w:val="3E4C59"/>
          <w:sz w:val="21"/>
          <w:szCs w:val="21"/>
        </w:rPr>
        <w:t xml:space="preserve">Para que el Gateway sea el único punto de entrada, no por convención sino por configuración. Un servicio sin puerto publicado solo es alcanzable desde dentro de la red de Docker. Nadie puede saltarse el Gateway aunque quiera.</w:t>
      </w:r>
    </w:p>
    <w:p>
      <w:pPr>
        <w:spacing w:after="80" w:before="180"/>
      </w:pPr>
      <w:r>
        <w:rPr>
          <w:b/>
          <w:bCs/>
          <w:color w:val="3E4C59"/>
          <w:sz w:val="21"/>
          <w:szCs w:val="21"/>
        </w:rPr>
        <w:t xml:space="preserve">¿Por qué no basta con depends_on?</w:t>
      </w:r>
    </w:p>
    <w:p>
      <w:pPr>
        <w:spacing w:after="120" w:line="276"/>
      </w:pPr>
      <w:r>
        <w:rPr>
          <w:color w:val="3E4C59"/>
          <w:sz w:val="21"/>
          <w:szCs w:val="21"/>
        </w:rPr>
        <w:t xml:space="preserve">Porque en su forma simple solo espera a que el contenedor exista, no a que el servicio esté listo. MongoDB tarda unos segundos más en aceptar conexiones. Con condition: service_healthy más un healthcheck real, la espera es efectiva y el arranque deja de depender de la velocidad de la máquina.</w:t>
      </w:r>
    </w:p>
    <w:p>
      <w:pPr>
        <w:spacing w:after="80" w:before="180"/>
      </w:pPr>
      <w:r>
        <w:rPr>
          <w:b/>
          <w:bCs/>
          <w:color w:val="3E4C59"/>
          <w:sz w:val="21"/>
          <w:szCs w:val="21"/>
        </w:rPr>
        <w:t xml:space="preserve">¿Por qué el Gateway valida el token sin consultar a ms-auth?</w:t>
      </w:r>
    </w:p>
    <w:p>
      <w:pPr>
        <w:spacing w:after="120" w:line="276"/>
      </w:pPr>
      <w:r>
        <w:rPr>
          <w:color w:val="3E4C59"/>
          <w:sz w:val="21"/>
          <w:szCs w:val="21"/>
        </w:rPr>
        <w:t xml:space="preserve">Porque tiene la misma clave de firma y puede verificarlo por sí mismo. Consultar a ms-auth en cada petición añadiría una llamada de red por petición y lo convertiría en punto único de falla de todo el sistema.</w:t>
      </w:r>
    </w:p>
    <w:p>
      <w:pPr>
        <w:spacing w:after="80" w:before="180"/>
      </w:pPr>
      <w:r>
        <w:rPr>
          <w:b/>
          <w:bCs/>
          <w:color w:val="3E4C59"/>
          <w:sz w:val="21"/>
          <w:szCs w:val="21"/>
        </w:rPr>
        <w:t xml:space="preserve">¿Por qué el token vive solo en memoria en el cliente?</w:t>
      </w:r>
    </w:p>
    <w:p>
      <w:pPr>
        <w:spacing w:after="120" w:line="276"/>
      </w:pPr>
      <w:r>
        <w:rPr>
          <w:color w:val="3E4C59"/>
          <w:sz w:val="21"/>
          <w:szCs w:val="21"/>
        </w:rPr>
        <w:t xml:space="preserve">localStorage y sessionStorage son legibles por cualquier script que se ejecute en la página. Guardarlo ahí amplía la superficie de un ataque de scripting entre sitios. El costo es que recargar la página cierra la sesión: es una decisión deliberada, no un descuido.</w:t>
      </w:r>
    </w:p>
    <w:p>
      <w:pPr>
        <w:spacing w:after="80" w:before="180"/>
      </w:pPr>
      <w:r>
        <w:rPr>
          <w:b/>
          <w:bCs/>
          <w:color w:val="3E4C59"/>
          <w:sz w:val="21"/>
          <w:szCs w:val="21"/>
        </w:rPr>
        <w:t xml:space="preserve">¿Por qué la topología de RabbitMQ no está en el docker-compose?</w:t>
      </w:r>
    </w:p>
    <w:p>
      <w:pPr>
        <w:spacing w:after="120" w:line="276"/>
      </w:pPr>
      <w:r>
        <w:rPr>
          <w:color w:val="3E4C59"/>
          <w:sz w:val="21"/>
          <w:szCs w:val="21"/>
        </w:rPr>
        <w:t xml:space="preserve">Para que quede versionada en el código y se recree sola al levantar el sistema desde cero. Crearla a mano en la consola significaría que nadie sabe, leyendo el repositorio, qué colas existen, y que habría que rehacerla en cada máquina.</w:t>
      </w:r>
    </w:p>
    <w:p>
      <w:pPr>
        <w:spacing w:after="300"/>
      </w:pPr>
    </w:p>
    <w:p>
      <w:pPr>
        <w:pBdr>
          <w:top w:val="single" w:color="1F6F63" w:sz="8" w:space="8"/>
        </w:pBdr>
        <w:spacing w:after="140" w:before="200"/>
      </w:pPr>
    </w:p>
    <w:p>
      <w:pPr>
        <w:spacing w:after="120" w:line="276"/>
      </w:pPr>
      <w:r>
        <w:rPr>
          <w:i/>
          <w:iCs/>
          <w:color w:val="6B7683"/>
          <w:sz w:val="18"/>
          <w:szCs w:val="18"/>
        </w:rPr>
        <w:t xml:space="preserve">Documento de estudio interno. No forma parte de los entregables del proyecto. Las justificaciones aquí resumidas se desarrollan con más detalle en los Documentos 01 a 04.</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2026-09-27T01:18:18.319Z</dcterms:created>
  <dcterms:modified xsi:type="dcterms:W3CDTF">2026-09-27T01:18:18.328Z</dcterms:modified>
</cp:coreProperties>
</file>

<file path=docProps/custom.xml><?xml version="1.0" encoding="utf-8"?>
<Properties xmlns="http://schemas.openxmlformats.org/officeDocument/2006/custom-properties" xmlns:vt="http://schemas.openxmlformats.org/officeDocument/2006/docPropsVTypes"/>
</file>