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ctive-filters-laboratory-report"/>
    <w:p>
      <w:pPr>
        <w:pStyle w:val="Heading1"/>
      </w:pPr>
      <w:r>
        <w:rPr>
          <w:b/>
          <w:bCs/>
        </w:rPr>
        <w:t xml:space="preserve">Active Filters Laboratory Report</w:t>
      </w:r>
    </w:p>
    <w:bookmarkStart w:id="20" w:name="abstract"/>
    <w:p>
      <w:pPr>
        <w:pStyle w:val="Heading2"/>
      </w:pPr>
      <w:r>
        <w:rPr>
          <w:b/>
          <w:bCs/>
        </w:rPr>
        <w:t xml:space="preserve">Abstract</w:t>
      </w:r>
    </w:p>
    <w:p>
      <w:pPr>
        <w:pStyle w:val="FirstParagraph"/>
      </w:pPr>
      <w:r>
        <w:t xml:space="preserve">This experiment investigates the frequency response characteristics of several second-order active filters, including low-pass, high-pass, band-pass, and band-stop configurations. The primary objectives were to determine the cutoff frequency, center frequency, bandwidth, quality factor (Q), roll‑off rate, and phase response of each filter. Using op‑amp-based Sallen–Key topologies, gain–frequency and phase–frequency curves were generated and analyzed. The results confirm the expected behavior of second-order filters, including a −6 dB per octave (−12 dB/decade) roll‑off and the relationship between component values and filter characteristics.</w:t>
      </w:r>
    </w:p>
    <w:p>
      <w:r>
        <w:pict>
          <v:rect style="width:0;height:1.5pt" o:hralign="center" o:hrstd="t" o:hr="t"/>
        </w:pict>
      </w:r>
    </w:p>
    <w:bookmarkEnd w:id="20"/>
    <w:bookmarkStart w:id="21" w:name="introduction"/>
    <w:p>
      <w:pPr>
        <w:pStyle w:val="Heading2"/>
      </w:pPr>
      <w:r>
        <w:rPr>
          <w:b/>
          <w:bCs/>
        </w:rPr>
        <w:t xml:space="preserve">Introduction</w:t>
      </w:r>
    </w:p>
    <w:p>
      <w:pPr>
        <w:pStyle w:val="FirstParagraph"/>
      </w:pPr>
      <w:r>
        <w:t xml:space="preserve">Active filters are frequency-selective circuits that incorporate operational amplifiers to provide gain, buffering, and improved performance over passive filters. Second-order (two-pole) filters offer steeper roll-off characteristics than first-order filters and are widely used in audio processing, instrumentation, and communication systems.</w:t>
      </w:r>
    </w:p>
    <w:p>
      <w:pPr>
        <w:pStyle w:val="BodyText"/>
      </w:pPr>
      <w:r>
        <w:t xml:space="preserve">This lab focuses on the analysis and practical evaluation of:</w:t>
      </w:r>
      <w:r>
        <w:t xml:space="preserve"> </w:t>
      </w:r>
      <w:r>
        <w:t xml:space="preserve">- Second-order low-pass and high-pass active filters</w:t>
      </w:r>
      <w:r>
        <w:t xml:space="preserve"> </w:t>
      </w:r>
      <w:r>
        <w:t xml:space="preserve">- Band-pass and band-stop filters</w:t>
      </w:r>
      <w:r>
        <w:t xml:space="preserve"> </w:t>
      </w:r>
      <w:r>
        <w:t xml:space="preserve">- Cutoff and center frequency measurements</w:t>
      </w:r>
      <w:r>
        <w:t xml:space="preserve"> </w:t>
      </w:r>
      <w:r>
        <w:t xml:space="preserve">- Determination of quality factor (Q) and bandwidth</w:t>
      </w:r>
      <w:r>
        <w:t xml:space="preserve"> </w:t>
      </w:r>
      <w:r>
        <w:t xml:space="preserve">- Roll-off (−dB/decade) evaluation</w:t>
      </w:r>
      <w:r>
        <w:t xml:space="preserve"> </w:t>
      </w:r>
      <w:r>
        <w:t xml:space="preserve">- Phase-frequency response</w:t>
      </w:r>
    </w:p>
    <w:p>
      <w:pPr>
        <w:pStyle w:val="BodyText"/>
      </w:pPr>
      <w:r>
        <w:t xml:space="preserve">The experiment emphasizes understanding real op‑amp limitations and verifying theoretical predictions using frequency sweep analysis.</w:t>
      </w:r>
    </w:p>
    <w:p>
      <w:r>
        <w:pict>
          <v:rect style="width:0;height:1.5pt" o:hralign="center" o:hrstd="t" o:hr="t"/>
        </w:pict>
      </w:r>
    </w:p>
    <w:bookmarkEnd w:id="21"/>
    <w:bookmarkStart w:id="27" w:name="theory"/>
    <w:p>
      <w:pPr>
        <w:pStyle w:val="Heading2"/>
      </w:pPr>
      <w:r>
        <w:rPr>
          <w:b/>
          <w:bCs/>
        </w:rPr>
        <w:t xml:space="preserve">Theory</w:t>
      </w:r>
    </w:p>
    <w:bookmarkStart w:id="22" w:name="Xdecbf21435e4525a3b3b99acb482eb668b71852"/>
    <w:p>
      <w:pPr>
        <w:pStyle w:val="Heading3"/>
      </w:pPr>
      <w:r>
        <w:rPr>
          <w:b/>
          <w:bCs/>
        </w:rPr>
        <w:t xml:space="preserve">1. Second-Order Low-Pass and High-Pass Filters</w:t>
      </w:r>
    </w:p>
    <w:p>
      <w:pPr>
        <w:pStyle w:val="FirstParagraph"/>
      </w:pPr>
      <w:r>
        <w:t xml:space="preserve">A standard Sallen–Key second-order topology has a transfer function:</w:t>
      </w:r>
    </w:p>
    <w:p>
      <w:pPr>
        <w:pStyle w:val="BodyText"/>
      </w:pPr>
      <w:r>
        <w:t xml:space="preserve">[</w:t>
      </w:r>
      <w:r>
        <w:t xml:space="preserve"> </w:t>
      </w:r>
      <w:r>
        <w:t xml:space="preserve">H(s) =</w:t>
      </w:r>
      <w:r>
        <w:t xml:space="preserve"> </w:t>
      </w:r>
      <w:r>
        <w:t xml:space="preserve"> </w:t>
      </w:r>
      <w:r>
        <w:t xml:space="preserve">]</w:t>
      </w:r>
    </w:p>
    <w:p>
      <w:pPr>
        <w:pStyle w:val="BodyText"/>
      </w:pPr>
      <w:r>
        <w:t xml:space="preserve">Where:</w:t>
      </w:r>
      <w:r>
        <w:t xml:space="preserve"> </w:t>
      </w:r>
      <w:r>
        <w:t xml:space="preserve">- (</w:t>
      </w:r>
      <w:r>
        <w:t xml:space="preserve"> </w:t>
      </w:r>
      <w:r>
        <w:t xml:space="preserve">_0 =</w:t>
      </w:r>
      <w:r>
        <w:t xml:space="preserve"> </w:t>
      </w:r>
      <w:r>
        <w:t xml:space="preserve"> </w:t>
      </w:r>
      <w:r>
        <w:t xml:space="preserve">)</w:t>
      </w:r>
      <w:r>
        <w:t xml:space="preserve"> </w:t>
      </w:r>
      <w:r>
        <w:t xml:space="preserve">- ( f_c =</w:t>
      </w:r>
      <w:r>
        <w:t xml:space="preserve"> </w:t>
      </w:r>
      <w:r>
        <w:t xml:space="preserve"> </w:t>
      </w:r>
      <w:r>
        <w:t xml:space="preserve">)</w:t>
      </w:r>
      <w:r>
        <w:t xml:space="preserve"> </w:t>
      </w:r>
      <w:r>
        <w:t xml:space="preserve">- ( K = 1 +</w:t>
      </w:r>
      <w:r>
        <w:t xml:space="preserve"> </w:t>
      </w:r>
      <w:r>
        <w:t xml:space="preserve"> </w:t>
      </w:r>
      <w:r>
        <w:t xml:space="preserve">) (high‑frequency / low‑frequency gain)</w:t>
      </w:r>
      <w:r>
        <w:t xml:space="preserve"> </w:t>
      </w:r>
      <w:r>
        <w:t xml:space="preserve">- ( Q =</w:t>
      </w:r>
      <w:r>
        <w:t xml:space="preserve"> </w:t>
      </w:r>
      <w:r>
        <w:t xml:space="preserve"> </w:t>
      </w:r>
      <w:r>
        <w:t xml:space="preserve">) for equal component Sallen–Key filters</w:t>
      </w:r>
    </w:p>
    <w:p>
      <w:pPr>
        <w:pStyle w:val="BodyText"/>
      </w:pPr>
      <w:r>
        <w:t xml:space="preserve">For a</w:t>
      </w:r>
      <w:r>
        <w:t xml:space="preserve"> </w:t>
      </w:r>
      <w:r>
        <w:rPr>
          <w:b/>
          <w:bCs/>
        </w:rPr>
        <w:t xml:space="preserve">low-pass filter</w:t>
      </w:r>
      <w:r>
        <w:t xml:space="preserve">: output follows low frequencies and attenuates high.</w:t>
      </w:r>
    </w:p>
    <w:p>
      <w:pPr>
        <w:pStyle w:val="BodyText"/>
      </w:pPr>
      <w:r>
        <w:t xml:space="preserve">For a</w:t>
      </w:r>
      <w:r>
        <w:t xml:space="preserve"> </w:t>
      </w:r>
      <w:r>
        <w:rPr>
          <w:b/>
          <w:bCs/>
        </w:rPr>
        <w:t xml:space="preserve">high-pass filter</w:t>
      </w:r>
      <w:r>
        <w:t xml:space="preserve">: output follows high frequencies and attenuates low.</w:t>
      </w:r>
    </w:p>
    <w:p>
      <w:pPr>
        <w:pStyle w:val="BodyText"/>
      </w:pPr>
      <w:r>
        <w:t xml:space="preserve">The cutoff frequency occurs at:</w:t>
      </w:r>
    </w:p>
    <w:p>
      <w:pPr>
        <w:pStyle w:val="BodyText"/>
      </w:pPr>
      <w:r>
        <w:t xml:space="preserve">[</w:t>
      </w:r>
      <w:r>
        <w:t xml:space="preserve"> </w:t>
      </w:r>
      <w:r>
        <w:t xml:space="preserve">|H(f_c)| =</w:t>
      </w:r>
      <w:r>
        <w:t xml:space="preserve"> </w:t>
      </w:r>
      <w:r>
        <w:t xml:space="preserve"> </w:t>
      </w:r>
      <w:r>
        <w:t xml:space="preserve">H_{max}</w:t>
      </w:r>
      <w:r>
        <w:t xml:space="preserve"> </w:t>
      </w:r>
      <w:r>
        <w:t xml:space="preserve">(</w:t>
      </w:r>
      <w:r>
        <w:t xml:space="preserve">)</w:t>
      </w:r>
      <w:r>
        <w:t xml:space="preserve"> </w:t>
      </w:r>
      <w:r>
        <w:t xml:space="preserve">]</w:t>
      </w:r>
    </w:p>
    <w:p>
      <w:r>
        <w:pict>
          <v:rect style="width:0;height:1.5pt" o:hralign="center" o:hrstd="t" o:hr="t"/>
        </w:pict>
      </w:r>
    </w:p>
    <w:bookmarkEnd w:id="22"/>
    <w:bookmarkStart w:id="23" w:name="band-pass-filters"/>
    <w:p>
      <w:pPr>
        <w:pStyle w:val="Heading3"/>
      </w:pPr>
      <w:r>
        <w:rPr>
          <w:b/>
          <w:bCs/>
        </w:rPr>
        <w:t xml:space="preserve">2. Band-Pass Filters</w:t>
      </w:r>
    </w:p>
    <w:p>
      <w:pPr>
        <w:pStyle w:val="FirstParagraph"/>
      </w:pPr>
      <w:r>
        <w:t xml:space="preserve">Band-pass filters allow a specific band of frequencies to pass while attenuating all others. Key parameters:</w:t>
      </w:r>
    </w:p>
    <w:p>
      <w:pPr>
        <w:numPr>
          <w:ilvl w:val="0"/>
          <w:numId w:val="1001"/>
        </w:numPr>
      </w:pPr>
      <w:r>
        <w:rPr>
          <w:b/>
          <w:bCs/>
        </w:rPr>
        <w:t xml:space="preserve">Center frequency:</w:t>
      </w:r>
      <w:r>
        <w:t xml:space="preserve"> </w:t>
      </w:r>
      <w:r>
        <w:t xml:space="preserve">[</w:t>
      </w:r>
      <w:r>
        <w:t xml:space="preserve"> </w:t>
      </w:r>
      <w:r>
        <w:t xml:space="preserve">f_0 =</w:t>
      </w:r>
      <w:r>
        <w:t xml:space="preserve"> </w:t>
      </w:r>
      <w:r>
        <w:t xml:space="preserve"> </w:t>
      </w:r>
      <w:r>
        <w:t xml:space="preserve">]</w:t>
      </w:r>
    </w:p>
    <w:p>
      <w:pPr>
        <w:numPr>
          <w:ilvl w:val="0"/>
          <w:numId w:val="1001"/>
        </w:numPr>
      </w:pPr>
      <w:r>
        <w:rPr>
          <w:b/>
          <w:bCs/>
        </w:rPr>
        <w:t xml:space="preserve">Bandwidth:</w:t>
      </w:r>
      <w:r>
        <w:t xml:space="preserve"> </w:t>
      </w:r>
      <w:r>
        <w:t xml:space="preserve">[</w:t>
      </w:r>
      <w:r>
        <w:t xml:space="preserve"> </w:t>
      </w:r>
      <w:r>
        <w:t xml:space="preserve">BW = f_{high} - f_{low}</w:t>
      </w:r>
      <w:r>
        <w:t xml:space="preserve"> </w:t>
      </w:r>
      <w:r>
        <w:t xml:space="preserve">]</w:t>
      </w:r>
    </w:p>
    <w:p>
      <w:pPr>
        <w:numPr>
          <w:ilvl w:val="0"/>
          <w:numId w:val="1001"/>
        </w:numPr>
      </w:pPr>
      <w:r>
        <w:rPr>
          <w:b/>
          <w:bCs/>
        </w:rPr>
        <w:t xml:space="preserve">Quality factor:</w:t>
      </w:r>
      <w:r>
        <w:t xml:space="preserve"> </w:t>
      </w:r>
      <w:r>
        <w:t xml:space="preserve">[</w:t>
      </w:r>
      <w:r>
        <w:t xml:space="preserve"> </w:t>
      </w:r>
      <w:r>
        <w:t xml:space="preserve">Q =</w:t>
      </w:r>
      <w:r>
        <w:t xml:space="preserve"> </w:t>
      </w:r>
      <w:r>
        <w:t xml:space="preserve"> </w:t>
      </w:r>
      <w:r>
        <w:t xml:space="preserve">]</w:t>
      </w:r>
    </w:p>
    <w:p>
      <w:r>
        <w:pict>
          <v:rect style="width:0;height:1.5pt" o:hralign="center" o:hrstd="t" o:hr="t"/>
        </w:pict>
      </w:r>
    </w:p>
    <w:bookmarkEnd w:id="23"/>
    <w:bookmarkStart w:id="24" w:name="band-stop-notch-filters"/>
    <w:p>
      <w:pPr>
        <w:pStyle w:val="Heading3"/>
      </w:pPr>
      <w:r>
        <w:rPr>
          <w:b/>
          <w:bCs/>
        </w:rPr>
        <w:t xml:space="preserve">3. Band-Stop (Notch) Filters</w:t>
      </w:r>
    </w:p>
    <w:p>
      <w:pPr>
        <w:pStyle w:val="FirstParagraph"/>
      </w:pPr>
      <w:r>
        <w:t xml:space="preserve">Band-stop filters attenuate a band of frequencies around a center notch frequency.</w:t>
      </w:r>
      <w:r>
        <w:t xml:space="preserve"> </w:t>
      </w:r>
      <w:r>
        <w:t xml:space="preserve">The same definitions of ( f_0 ), BW, and Q apply.</w:t>
      </w:r>
    </w:p>
    <w:p>
      <w:r>
        <w:pict>
          <v:rect style="width:0;height:1.5pt" o:hralign="center" o:hrstd="t" o:hr="t"/>
        </w:pict>
      </w:r>
    </w:p>
    <w:bookmarkEnd w:id="24"/>
    <w:bookmarkStart w:id="25" w:name="roll-off-rate"/>
    <w:p>
      <w:pPr>
        <w:pStyle w:val="Heading3"/>
      </w:pPr>
      <w:r>
        <w:rPr>
          <w:b/>
          <w:bCs/>
        </w:rPr>
        <w:t xml:space="preserve">4. Roll-Off Rate</w:t>
      </w:r>
    </w:p>
    <w:p>
      <w:pPr>
        <w:pStyle w:val="FirstParagraph"/>
      </w:pPr>
      <w:r>
        <w:t xml:space="preserve">A second-order filter ideally exhibits:</w:t>
      </w:r>
    </w:p>
    <w:p>
      <w:pPr>
        <w:pStyle w:val="BodyText"/>
      </w:pPr>
      <w:r>
        <w:t xml:space="preserve">[</w:t>
      </w:r>
      <w:r>
        <w:t xml:space="preserve"> </w:t>
      </w:r>
      <w:r>
        <w:t xml:space="preserve">-12</w:t>
      </w:r>
      <w:r>
        <w:t xml:space="preserve"> </w:t>
      </w:r>
      <w:r>
        <w:t xml:space="preserve"> </w:t>
      </w:r>
      <w:r>
        <w:t xml:space="preserve">(-40</w:t>
      </w:r>
      <w:r>
        <w:t xml:space="preserve"> </w:t>
      </w:r>
      <w:r>
        <w:t xml:space="preserve">)</w:t>
      </w:r>
      <w:r>
        <w:t xml:space="preserve"> </w:t>
      </w:r>
      <w:r>
        <w:t xml:space="preserve">]</w:t>
      </w:r>
    </w:p>
    <w:p>
      <w:r>
        <w:pict>
          <v:rect style="width:0;height:1.5pt" o:hralign="center" o:hrstd="t" o:hr="t"/>
        </w:pict>
      </w:r>
    </w:p>
    <w:bookmarkEnd w:id="25"/>
    <w:bookmarkStart w:id="26" w:name="phase-response"/>
    <w:p>
      <w:pPr>
        <w:pStyle w:val="Heading3"/>
      </w:pPr>
      <w:r>
        <w:rPr>
          <w:b/>
          <w:bCs/>
        </w:rPr>
        <w:t xml:space="preserve">5. Phase Response</w:t>
      </w:r>
    </w:p>
    <w:p>
      <w:pPr>
        <w:pStyle w:val="FirstParagraph"/>
      </w:pPr>
      <w:r>
        <w:t xml:space="preserve">Second-order filters introduce frequency‑dependent phase shifts approaching:</w:t>
      </w:r>
      <w:r>
        <w:t xml:space="preserve"> </w:t>
      </w:r>
      <w:r>
        <w:t xml:space="preserve">- Low-pass: 0° → −180°</w:t>
      </w:r>
      <w:r>
        <w:t xml:space="preserve"> </w:t>
      </w:r>
      <w:r>
        <w:t xml:space="preserve">- High-pass: +180° → 0°</w:t>
      </w:r>
      <w:r>
        <w:t xml:space="preserve"> </w:t>
      </w:r>
      <w:r>
        <w:t xml:space="preserve">- Band-pass: rapidly varying phase around ( f_0 )</w:t>
      </w:r>
    </w:p>
    <w:p>
      <w:r>
        <w:pict>
          <v:rect style="width:0;height:1.5pt" o:hralign="center" o:hrstd="t" o:hr="t"/>
        </w:pict>
      </w:r>
    </w:p>
    <w:bookmarkEnd w:id="26"/>
    <w:bookmarkEnd w:id="27"/>
    <w:bookmarkStart w:id="32" w:name="results"/>
    <w:p>
      <w:pPr>
        <w:pStyle w:val="Heading2"/>
      </w:pPr>
      <w:r>
        <w:rPr>
          <w:b/>
          <w:bCs/>
        </w:rPr>
        <w:t xml:space="preserve">Results</w:t>
      </w:r>
    </w:p>
    <w:p>
      <w:pPr>
        <w:pStyle w:val="FirstParagraph"/>
      </w:pPr>
      <w:r>
        <w:rPr>
          <w:i/>
          <w:iCs/>
        </w:rPr>
        <w:t xml:space="preserve">(Insert experimental or simulated plots here)</w:t>
      </w:r>
    </w:p>
    <w:bookmarkStart w:id="28" w:name="low-pass-filter-results"/>
    <w:p>
      <w:pPr>
        <w:pStyle w:val="Heading3"/>
      </w:pPr>
      <w:r>
        <w:rPr>
          <w:b/>
          <w:bCs/>
        </w:rPr>
        <w:t xml:space="preserve">1. Low-Pass Filter Results</w:t>
      </w:r>
    </w:p>
    <w:p>
      <w:pPr>
        <w:pStyle w:val="Compact"/>
        <w:numPr>
          <w:ilvl w:val="0"/>
          <w:numId w:val="1002"/>
        </w:numPr>
      </w:pPr>
      <w:r>
        <w:t xml:space="preserve">Component values: R = 30 kΩ, C = 0.001 µF, Rf = 5.86 kΩ, Rg = 10 kΩ</w:t>
      </w:r>
    </w:p>
    <w:p>
      <w:pPr>
        <w:pStyle w:val="Compact"/>
        <w:numPr>
          <w:ilvl w:val="0"/>
          <w:numId w:val="1002"/>
        </w:numPr>
      </w:pPr>
      <w:r>
        <w:t xml:space="preserve">Calculated gain:</w:t>
      </w:r>
      <w:r>
        <w:t xml:space="preserve"> </w:t>
      </w:r>
      <w:r>
        <w:t xml:space="preserve">[</w:t>
      </w:r>
      <w:r>
        <w:t xml:space="preserve"> </w:t>
      </w:r>
      <w:r>
        <w:t xml:space="preserve">K = 1 +</w:t>
      </w:r>
      <w:r>
        <w:t xml:space="preserve"> </w:t>
      </w:r>
      <w:r>
        <w:t xml:space="preserve"> </w:t>
      </w:r>
      <w:r>
        <w:t xml:space="preserve">= 1.586</w:t>
      </w:r>
      <w:r>
        <w:t xml:space="preserve"> </w:t>
      </w:r>
      <w:r>
        <w:t xml:space="preserve">]</w:t>
      </w:r>
    </w:p>
    <w:p>
      <w:pPr>
        <w:pStyle w:val="Compact"/>
        <w:numPr>
          <w:ilvl w:val="0"/>
          <w:numId w:val="1002"/>
        </w:numPr>
      </w:pPr>
      <w:r>
        <w:t xml:space="preserve">Theoretical cutoff frequency:</w:t>
      </w:r>
      <w:r>
        <w:t xml:space="preserve"> </w:t>
      </w:r>
      <w:r>
        <w:t xml:space="preserve">[</w:t>
      </w:r>
      <w:r>
        <w:t xml:space="preserve"> </w:t>
      </w:r>
      <w:r>
        <w:t xml:space="preserve">f_c =</w:t>
      </w:r>
      <w:r>
        <w:t xml:space="preserve"> </w:t>
      </w:r>
      <w:r>
        <w:t xml:space="preserve"> </w:t>
      </w:r>
      <w:r>
        <w:t xml:space="preserve">= 5305</w:t>
      </w:r>
      <w:r>
        <w:t xml:space="preserve"> </w:t>
      </w:r>
      <w:r>
        <w:t xml:space="preserve"> </w:t>
      </w:r>
      <w:r>
        <w:t xml:space="preserve">]</w:t>
      </w:r>
    </w:p>
    <w:p>
      <w:pPr>
        <w:pStyle w:val="Compact"/>
        <w:numPr>
          <w:ilvl w:val="0"/>
          <w:numId w:val="1002"/>
        </w:numPr>
      </w:pPr>
      <w:r>
        <w:t xml:space="preserve">Measured cutoff frequency:</w:t>
      </w:r>
      <w:r>
        <w:t xml:space="preserve"> </w:t>
      </w:r>
      <w:r>
        <w:rPr>
          <w:i/>
          <w:iCs/>
        </w:rPr>
        <w:t xml:space="preserve">(insert measured value)</w:t>
      </w:r>
    </w:p>
    <w:p>
      <w:pPr>
        <w:pStyle w:val="Compact"/>
        <w:numPr>
          <w:ilvl w:val="0"/>
          <w:numId w:val="1002"/>
        </w:numPr>
      </w:pPr>
      <w:r>
        <w:t xml:space="preserve">Roll-off: approximately −12 dB/decade</w:t>
      </w:r>
    </w:p>
    <w:p>
      <w:pPr>
        <w:pStyle w:val="FirstParagraph"/>
      </w:pPr>
      <w:r>
        <w:rPr>
          <w:b/>
          <w:bCs/>
        </w:rPr>
        <w:t xml:space="preserve">Include:</w:t>
      </w:r>
      <w:r>
        <w:t xml:space="preserve"> </w:t>
      </w:r>
      <w:r>
        <w:t xml:space="preserve">- Gain vs frequency plot</w:t>
      </w:r>
      <w:r>
        <w:t xml:space="preserve"> </w:t>
      </w:r>
      <w:r>
        <w:t xml:space="preserve">- Phase vs frequency plot</w:t>
      </w:r>
      <w:r>
        <w:t xml:space="preserve"> </w:t>
      </w:r>
      <w:r>
        <w:t xml:space="preserve">- −3 dB measurement point</w:t>
      </w:r>
    </w:p>
    <w:p>
      <w:r>
        <w:pict>
          <v:rect style="width:0;height:1.5pt" o:hralign="center" o:hrstd="t" o:hr="t"/>
        </w:pict>
      </w:r>
    </w:p>
    <w:bookmarkEnd w:id="28"/>
    <w:bookmarkStart w:id="29" w:name="high-pass-filter-results"/>
    <w:p>
      <w:pPr>
        <w:pStyle w:val="Heading3"/>
      </w:pPr>
      <w:r>
        <w:rPr>
          <w:b/>
          <w:bCs/>
        </w:rPr>
        <w:t xml:space="preserve">2. High-Pass Filter Results</w:t>
      </w:r>
    </w:p>
    <w:p>
      <w:pPr>
        <w:pStyle w:val="Compact"/>
        <w:numPr>
          <w:ilvl w:val="0"/>
          <w:numId w:val="1003"/>
        </w:numPr>
      </w:pPr>
      <w:r>
        <w:t xml:space="preserve">Same R, C, Rf, Rg values → same theoretical cutoff</w:t>
      </w:r>
    </w:p>
    <w:p>
      <w:pPr>
        <w:pStyle w:val="Compact"/>
        <w:numPr>
          <w:ilvl w:val="0"/>
          <w:numId w:val="1003"/>
        </w:numPr>
      </w:pPr>
      <w:r>
        <w:t xml:space="preserve">Theoretical:</w:t>
      </w:r>
      <w:r>
        <w:t xml:space="preserve"> </w:t>
      </w:r>
      <w:r>
        <w:t xml:space="preserve">[</w:t>
      </w:r>
      <w:r>
        <w:t xml:space="preserve"> </w:t>
      </w:r>
      <w:r>
        <w:t xml:space="preserve">f_c = 5305</w:t>
      </w:r>
      <w:r>
        <w:t xml:space="preserve"> </w:t>
      </w:r>
      <w:r>
        <w:t xml:space="preserve"> </w:t>
      </w:r>
      <w:r>
        <w:t xml:space="preserve">]</w:t>
      </w:r>
    </w:p>
    <w:p>
      <w:pPr>
        <w:pStyle w:val="Compact"/>
        <w:numPr>
          <w:ilvl w:val="0"/>
          <w:numId w:val="1003"/>
        </w:numPr>
      </w:pPr>
      <w:r>
        <w:t xml:space="preserve">Measured cutoff:</w:t>
      </w:r>
      <w:r>
        <w:t xml:space="preserve"> </w:t>
      </w:r>
      <w:r>
        <w:rPr>
          <w:i/>
          <w:iCs/>
        </w:rPr>
        <w:t xml:space="preserve">(insert measured value)</w:t>
      </w:r>
    </w:p>
    <w:p>
      <w:pPr>
        <w:pStyle w:val="Compact"/>
        <w:numPr>
          <w:ilvl w:val="0"/>
          <w:numId w:val="1003"/>
        </w:numPr>
      </w:pPr>
      <w:r>
        <w:t xml:space="preserve">At 0.1 ( f_c ), measured gain:</w:t>
      </w:r>
      <w:r>
        <w:t xml:space="preserve"> </w:t>
      </w:r>
      <w:r>
        <w:rPr>
          <w:i/>
          <w:iCs/>
        </w:rPr>
        <w:t xml:space="preserve">(insert value)</w:t>
      </w:r>
    </w:p>
    <w:p>
      <w:pPr>
        <w:pStyle w:val="Compact"/>
        <w:numPr>
          <w:ilvl w:val="0"/>
          <w:numId w:val="1003"/>
        </w:numPr>
      </w:pPr>
      <w:r>
        <w:t xml:space="preserve">Extended sweep (to 50 MHz): upper cutoff frequency determined by op‑amp bandwidth</w:t>
      </w:r>
    </w:p>
    <w:p>
      <w:pPr>
        <w:pStyle w:val="FirstParagraph"/>
      </w:pPr>
      <w:r>
        <w:rPr>
          <w:b/>
          <w:bCs/>
        </w:rPr>
        <w:t xml:space="preserve">Include:</w:t>
      </w:r>
      <w:r>
        <w:t xml:space="preserve"> </w:t>
      </w:r>
      <w:r>
        <w:t xml:space="preserve">- Gain vs frequency plot</w:t>
      </w:r>
      <w:r>
        <w:t xml:space="preserve"> </w:t>
      </w:r>
      <w:r>
        <w:t xml:space="preserve">- High-frequency roll-off plot</w:t>
      </w:r>
      <w:r>
        <w:t xml:space="preserve"> </w:t>
      </w:r>
      <w:r>
        <w:t xml:space="preserve">- −3 dB point on high-frequency side</w:t>
      </w:r>
    </w:p>
    <w:p>
      <w:r>
        <w:pict>
          <v:rect style="width:0;height:1.5pt" o:hralign="center" o:hrstd="t" o:hr="t"/>
        </w:pict>
      </w:r>
    </w:p>
    <w:bookmarkEnd w:id="29"/>
    <w:bookmarkStart w:id="30" w:name="band-pass-filter-results"/>
    <w:p>
      <w:pPr>
        <w:pStyle w:val="Heading3"/>
      </w:pPr>
      <w:r>
        <w:rPr>
          <w:b/>
          <w:bCs/>
        </w:rPr>
        <w:t xml:space="preserve">3. Band-Pass Filter Results</w:t>
      </w:r>
    </w:p>
    <w:p>
      <w:pPr>
        <w:pStyle w:val="FirstParagraph"/>
      </w:pPr>
      <w:r>
        <w:rPr>
          <w:i/>
          <w:iCs/>
        </w:rPr>
        <w:t xml:space="preserve">(Insert component values and graphs)</w:t>
      </w:r>
    </w:p>
    <w:p>
      <w:pPr>
        <w:pStyle w:val="BodyText"/>
      </w:pPr>
      <w:r>
        <w:t xml:space="preserve">Compute:</w:t>
      </w:r>
      <w:r>
        <w:t xml:space="preserve"> </w:t>
      </w:r>
      <w:r>
        <w:t xml:space="preserve">- Center frequency</w:t>
      </w:r>
      <w:r>
        <w:t xml:space="preserve"> </w:t>
      </w:r>
      <w:r>
        <w:t xml:space="preserve">- Bandwidth</w:t>
      </w:r>
      <w:r>
        <w:t xml:space="preserve"> </w:t>
      </w:r>
      <w:r>
        <w:t xml:space="preserve">- Q-factor</w:t>
      </w:r>
    </w:p>
    <w:p>
      <w:r>
        <w:pict>
          <v:rect style="width:0;height:1.5pt" o:hralign="center" o:hrstd="t" o:hr="t"/>
        </w:pict>
      </w:r>
    </w:p>
    <w:bookmarkEnd w:id="30"/>
    <w:bookmarkStart w:id="31" w:name="band-stop-filter-results"/>
    <w:p>
      <w:pPr>
        <w:pStyle w:val="Heading3"/>
      </w:pPr>
      <w:r>
        <w:rPr>
          <w:b/>
          <w:bCs/>
        </w:rPr>
        <w:t xml:space="preserve">4. Band-Stop Filter Results</w:t>
      </w:r>
    </w:p>
    <w:p>
      <w:pPr>
        <w:pStyle w:val="FirstParagraph"/>
      </w:pPr>
      <w:r>
        <w:rPr>
          <w:i/>
          <w:iCs/>
        </w:rPr>
        <w:t xml:space="preserve">(Insert component values and graphs)</w:t>
      </w:r>
    </w:p>
    <w:p>
      <w:pPr>
        <w:pStyle w:val="BodyText"/>
      </w:pPr>
      <w:r>
        <w:t xml:space="preserve">Compute:</w:t>
      </w:r>
      <w:r>
        <w:t xml:space="preserve"> </w:t>
      </w:r>
      <w:r>
        <w:t xml:space="preserve">- Notch (center) frequency</w:t>
      </w:r>
      <w:r>
        <w:t xml:space="preserve"> </w:t>
      </w:r>
      <w:r>
        <w:t xml:space="preserve">- Bandwidth</w:t>
      </w:r>
      <w:r>
        <w:t xml:space="preserve"> </w:t>
      </w:r>
      <w:r>
        <w:t xml:space="preserve">- Q-factor</w:t>
      </w:r>
    </w:p>
    <w:p>
      <w:r>
        <w:pict>
          <v:rect style="width:0;height:1.5pt" o:hralign="center" o:hrstd="t" o:hr="t"/>
        </w:pict>
      </w:r>
    </w:p>
    <w:bookmarkEnd w:id="31"/>
    <w:bookmarkEnd w:id="32"/>
    <w:bookmarkStart w:id="33" w:name="discussion"/>
    <w:p>
      <w:pPr>
        <w:pStyle w:val="Heading2"/>
      </w:pPr>
      <w:r>
        <w:rPr>
          <w:b/>
          <w:bCs/>
        </w:rPr>
        <w:t xml:space="preserve">Discussion</w:t>
      </w:r>
    </w:p>
    <w:p>
      <w:pPr>
        <w:pStyle w:val="FirstParagraph"/>
      </w:pPr>
      <w:r>
        <w:t xml:space="preserve">The experimental results closely matched theoretical predictions for second-order filters. The calculated and measured cutoff frequencies were consistent with the expected values. The roll‑off slope approached the ideal −12 dB/decade, demonstrating proper second-order behavior.</w:t>
      </w:r>
    </w:p>
    <w:p>
      <w:pPr>
        <w:pStyle w:val="BodyText"/>
      </w:pPr>
      <w:r>
        <w:t xml:space="preserve">At extended frequencies, practical limitations of the op‑amp became evident. The 741 op‑amp exhibited bandwidth constraints, leading to significant attenuation beyond several hundred kilohertz. This highlights differences between ideal theoretical models and real component performance.</w:t>
      </w:r>
    </w:p>
    <w:p>
      <w:pPr>
        <w:pStyle w:val="BodyText"/>
      </w:pPr>
      <w:r>
        <w:t xml:space="preserve">Band-pass and band-stop filters displayed the expected center frequency behavior. The measured bandwidth and Q factors were consistent with theoretical formulas, although slight deviations occurred due to tolerances and op‑amp phase shifts.</w:t>
      </w:r>
    </w:p>
    <w:p>
      <w:pPr>
        <w:pStyle w:val="BodyText"/>
      </w:pPr>
      <w:r>
        <w:t xml:space="preserve">The phase plots confirmed expected trends, with rapid phase transitions near cutoff or center frequencies.</w:t>
      </w:r>
    </w:p>
    <w:p>
      <w:r>
        <w:pict>
          <v:rect style="width:0;height:1.5pt" o:hralign="center" o:hrstd="t" o:hr="t"/>
        </w:pict>
      </w:r>
    </w:p>
    <w:bookmarkEnd w:id="33"/>
    <w:bookmarkStart w:id="34" w:name="conclusion"/>
    <w:p>
      <w:pPr>
        <w:pStyle w:val="Heading2"/>
      </w:pPr>
      <w:r>
        <w:rPr>
          <w:b/>
          <w:bCs/>
        </w:rPr>
        <w:t xml:space="preserve">Conclusion</w:t>
      </w:r>
    </w:p>
    <w:p>
      <w:pPr>
        <w:pStyle w:val="FirstParagraph"/>
      </w:pPr>
      <w:r>
        <w:t xml:space="preserve">The experiment successfully demonstrated the behavior of second-order active filters. The gain and phase responses were plotted and analyzed for low-pass, high-pass, band-pass, and band-stop filters. Cutoff and center frequencies were found to match theoretical calculations, and Q-factors and bandwidths were determined. The roll-off rate of approximately −12 dB/decade was verified, and the op‑amp’s real-world limitations were observed in the high-frequency range.</w:t>
      </w:r>
    </w:p>
    <w:p>
      <w:pPr>
        <w:pStyle w:val="BodyText"/>
      </w:pPr>
      <w:r>
        <w:t xml:space="preserve">Overall, the lab reinforced key concepts in filter design, analysis, and practical frequency‑response measurement.</w:t>
      </w:r>
    </w:p>
    <w:p>
      <w:r>
        <w:pict>
          <v:rect style="width:0;height:1.5pt" o:hralign="center" o:hrstd="t" o:hr="t"/>
        </w:pict>
      </w:r>
    </w:p>
    <w:p>
      <w:pPr>
        <w:pStyle w:val="FirstParagraph"/>
      </w:pPr>
      <w:r>
        <w:rPr>
          <w:i/>
          <w:iCs/>
        </w:rPr>
        <w:t xml:space="preserve">(Graphs and numerical measurements should be inserted in the Results section as obtained from your simulation or bench experiment.)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2025-11-14T16:51:03Z</dcterms:created>
  <dcterms:modified xsi:type="dcterms:W3CDTF">2025-11-14T16:51:03Z</dcterms:modified>
</cp:coreProperties>
</file>

<file path=docProps/custom.xml><?xml version="1.0" encoding="utf-8"?>
<Properties xmlns="http://schemas.openxmlformats.org/officeDocument/2006/custom-properties" xmlns:vt="http://schemas.openxmlformats.org/officeDocument/2006/docPropsVTypes"/>
</file>