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5BF" w:rsidRDefault="002A06EB">
      <w:r>
        <w:t>3.</w:t>
      </w:r>
    </w:p>
    <w:tbl>
      <w:tblPr>
        <w:tblW w:w="6132" w:type="dxa"/>
        <w:tblLook w:val="04A0" w:firstRow="1" w:lastRow="0" w:firstColumn="1" w:lastColumn="0" w:noHBand="0" w:noVBand="1"/>
      </w:tblPr>
      <w:tblGrid>
        <w:gridCol w:w="960"/>
        <w:gridCol w:w="960"/>
        <w:gridCol w:w="1053"/>
        <w:gridCol w:w="1053"/>
        <w:gridCol w:w="1053"/>
        <w:gridCol w:w="1053"/>
      </w:tblGrid>
      <w:tr w:rsidR="008D5CAE" w:rsidRPr="005464F3" w:rsidTr="008D5CA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First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D5CAE" w:rsidRDefault="008D5CAE" w:rsidP="008D5CA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D5CAE" w:rsidRDefault="008D5CAE" w:rsidP="008D5C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Second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64F3">
              <w:rPr>
                <w:rFonts w:ascii="Calibri" w:eastAsia="Times New Roman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0.475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0.00095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0.000827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0.763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0.000763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0.763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0.000763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0.928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0.000619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0.871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0.00067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1.04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0.00052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0.928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0.000619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2500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1.126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0.00045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0.000491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1.184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0.000395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3300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1.209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D5CAE" w:rsidRDefault="008D5CAE" w:rsidP="008D5CA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0.000366</w:t>
            </w: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0.000349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8D5C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1.251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0.000313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1.273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0.000283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8D5C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1.287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0.000257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5500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1.296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0.000236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1.292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0.000183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1.237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0.000155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CAE" w:rsidRPr="005464F3" w:rsidTr="008D5CA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0.000128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D5CAE" w:rsidRPr="005464F3" w:rsidRDefault="008D5CAE" w:rsidP="005464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464F3" w:rsidRDefault="005464F3"/>
    <w:p w:rsidR="005464F3" w:rsidRDefault="00AB182F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B182F" w:rsidRDefault="00AB182F"/>
    <w:p w:rsidR="008D5CAE" w:rsidRDefault="008D5CAE">
      <w:r>
        <w:rPr>
          <w:noProof/>
        </w:rPr>
        <w:lastRenderedPageBreak/>
        <w:drawing>
          <wp:inline distT="0" distB="0" distL="0" distR="0">
            <wp:extent cx="5486400" cy="32004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D5CAE" w:rsidRPr="005155BF" w:rsidRDefault="008175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open</m:t>
              </m:r>
            </m:sub>
          </m:sSub>
          <m:r>
            <w:rPr>
              <w:rFonts w:ascii="Cambria Math" w:hAnsi="Cambria Math"/>
            </w:rPr>
            <m:t>=1.885V</m:t>
          </m:r>
        </m:oMath>
      </m:oMathPara>
    </w:p>
    <w:p w:rsidR="005155BF" w:rsidRPr="005155BF" w:rsidRDefault="00817551" w:rsidP="005155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sc</m:t>
              </m:r>
            </m:sub>
          </m:sSub>
          <m:r>
            <w:rPr>
              <w:rFonts w:ascii="Cambria Math" w:hAnsi="Cambria Math"/>
            </w:rPr>
            <m:t>=1.364mA</m:t>
          </m:r>
        </m:oMath>
      </m:oMathPara>
    </w:p>
    <w:p w:rsidR="005155BF" w:rsidRPr="005155BF" w:rsidRDefault="005155BF" w:rsidP="005155BF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>
            <wp:extent cx="5486400" cy="32004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155BF" w:rsidRDefault="00B64320" w:rsidP="00B64320">
      <w:pPr>
        <w:rPr>
          <w:rFonts w:ascii="Times New Roman" w:hAnsi="Times New Roman" w:cs="Times New Roman"/>
          <w:sz w:val="28"/>
          <w:szCs w:val="28"/>
        </w:rPr>
      </w:pPr>
      <w:r w:rsidRPr="00B64320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643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4320">
        <w:rPr>
          <w:rFonts w:ascii="Times New Roman" w:hAnsi="Times New Roman" w:cs="Times New Roman"/>
          <w:sz w:val="28"/>
          <w:szCs w:val="28"/>
        </w:rPr>
        <w:t>–v plots for both sections of the experiment display a linear relationship. However, in the first graph, once the voltage exceeds 1.296 V, it begins to decrease, which disrupts the expected trend.</w:t>
      </w:r>
    </w:p>
    <w:p w:rsidR="0025613F" w:rsidRDefault="0025613F" w:rsidP="00B6432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561"/>
        <w:gridCol w:w="604"/>
        <w:gridCol w:w="860"/>
        <w:gridCol w:w="860"/>
        <w:gridCol w:w="860"/>
        <w:gridCol w:w="874"/>
        <w:gridCol w:w="560"/>
        <w:gridCol w:w="717"/>
        <w:gridCol w:w="860"/>
        <w:gridCol w:w="860"/>
        <w:gridCol w:w="860"/>
        <w:gridCol w:w="874"/>
      </w:tblGrid>
      <w:tr w:rsidR="004B4FDC" w:rsidTr="004B4FDC">
        <w:trPr>
          <w:trHeight w:val="22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C01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C01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First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D25181" w:rsidP="00C01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Table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Second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4B4FDC" w:rsidRDefault="00D25181" w:rsidP="00C018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Table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Default="004B4FDC" w:rsidP="00C018A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64F3">
              <w:rPr>
                <w:rFonts w:ascii="Calibri" w:eastAsia="Times New Roman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PL/</w:t>
            </w:r>
            <w:proofErr w:type="spellStart"/>
            <w:r>
              <w:rPr>
                <w:rFonts w:ascii="Calibri" w:hAnsi="Calibri" w:cs="Calibri"/>
                <w:color w:val="000000"/>
              </w:rPr>
              <w:t>Pmax</w:t>
            </w:r>
            <w:proofErr w:type="spellEnd"/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Efficiency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PL/</w:t>
            </w:r>
            <w:proofErr w:type="spellStart"/>
            <w:r>
              <w:rPr>
                <w:rFonts w:ascii="Calibri" w:hAnsi="Calibri" w:cs="Calibri"/>
                <w:color w:val="000000"/>
              </w:rPr>
              <w:t>Pmax</w:t>
            </w:r>
            <w:proofErr w:type="spellEnd"/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Efficiency</w:t>
            </w: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0.475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0.00095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0.000451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0.291505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</w:t>
            </w:r>
            <w:bookmarkStart w:id="0" w:name="_GoBack"/>
            <w:bookmarkEnd w:id="0"/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BE2E31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ccc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0.000827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0.000561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0.362138</w:t>
            </w:r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0.1356</w:t>
            </w: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0.763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0.000763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0.000582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0.376078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0.1526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0.763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0.000763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0.000582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0.376078</w:t>
            </w:r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0.1526</w:t>
            </w: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0.928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0.000619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0.000574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0.37088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0.1856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0.871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0.00067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0.000584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0.376983</w:t>
            </w:r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0.1742</w:t>
            </w: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1.04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0.00052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0.000541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0.349354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0.208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0.928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0.000619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0.000574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0.37088</w:t>
            </w:r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0.1856</w:t>
            </w: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2500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1.126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0.00045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0.000507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0.327617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0.2252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0.000491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0.00053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0.342495</w:t>
            </w:r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0.216</w:t>
            </w:r>
          </w:p>
        </w:tc>
      </w:tr>
      <w:tr w:rsidR="004B4FDC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1.184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0.000395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0.000467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0.301864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0.2368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3300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1.209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0.000366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0.000443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0.286133</w:t>
            </w:r>
          </w:p>
        </w:tc>
        <w:tc>
          <w:tcPr>
            <w:tcW w:w="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0.2418</w:t>
            </w: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1.22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0.000349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0.000425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0.274714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0.244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1.251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0.000313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0.000391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0.252746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0.2502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1.273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0.000283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0.00036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0.232634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0.2546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1.287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0.000257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0.000331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0.214001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0.2574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5500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1.296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0.000236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0.000305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0.197277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0.2592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1.292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0.000215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0.000278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0.179723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0.2584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1.28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0.000183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0.000234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0.1512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0.256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1.237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0.000155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0.000191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0.12356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0.2474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4FDC" w:rsidRPr="005464F3" w:rsidTr="004B4FDC">
        <w:trPr>
          <w:trHeight w:val="22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1.15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64F3">
              <w:rPr>
                <w:rFonts w:ascii="Calibri" w:eastAsia="Times New Roman" w:hAnsi="Calibri" w:cs="Calibri"/>
                <w:color w:val="000000"/>
              </w:rPr>
              <w:t>0.000128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0.000147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0.094925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B4FDC" w:rsidRDefault="004B4FDC" w:rsidP="004B4F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0.23</w:t>
            </w:r>
          </w:p>
        </w:tc>
        <w:tc>
          <w:tcPr>
            <w:tcW w:w="5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B4FDC" w:rsidRPr="005464F3" w:rsidRDefault="004B4FDC" w:rsidP="004B4F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3.(b)</w:t>
      </w:r>
    </w:p>
    <w:p w:rsidR="0025613F" w:rsidRDefault="005576A0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first </w:t>
      </w:r>
      <w:r w:rsidR="00D25181">
        <w:rPr>
          <w:rFonts w:ascii="Times New Roman" w:hAnsi="Times New Roman" w:cs="Times New Roman"/>
          <w:sz w:val="28"/>
          <w:szCs w:val="28"/>
        </w:rPr>
        <w:t>table</w:t>
      </w:r>
    </w:p>
    <w:p w:rsidR="005576A0" w:rsidRDefault="005576A0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9195A" wp14:editId="4E2E63E4">
            <wp:extent cx="5486400" cy="3200400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second table</w:t>
      </w:r>
    </w:p>
    <w:p w:rsidR="004B4FDC" w:rsidRDefault="00BE2E3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BE2E31" w:rsidRDefault="00BE2E31" w:rsidP="00B64320">
      <w:pPr>
        <w:rPr>
          <w:rFonts w:ascii="Times New Roman" w:hAnsi="Times New Roman" w:cs="Times New Roman"/>
          <w:sz w:val="28"/>
          <w:szCs w:val="28"/>
        </w:rPr>
      </w:pPr>
    </w:p>
    <w:p w:rsidR="00BE2E31" w:rsidRDefault="00BE2E31" w:rsidP="00B64320">
      <w:pPr>
        <w:rPr>
          <w:rFonts w:ascii="Times New Roman" w:hAnsi="Times New Roman" w:cs="Times New Roman"/>
          <w:sz w:val="28"/>
          <w:szCs w:val="28"/>
        </w:rPr>
      </w:pP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First table</w:t>
      </w:r>
    </w:p>
    <w:p w:rsidR="00BE2E31" w:rsidRDefault="00BE2E3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BE2E31" w:rsidRDefault="00D2518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second Table</w:t>
      </w:r>
    </w:p>
    <w:p w:rsidR="00BE2E31" w:rsidRDefault="00BE2E3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819400" cy="25251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9-22 07193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565" cy="266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6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B82AC" wp14:editId="7DA0E110">
            <wp:extent cx="2841171" cy="2532769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9-22 07190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07" cy="255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</w:p>
    <w:p w:rsidR="00D25181" w:rsidRDefault="00D25181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26835" cy="4049486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9-22 07185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835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63" w:rsidRDefault="006B1863" w:rsidP="00B64320">
      <w:pPr>
        <w:rPr>
          <w:rFonts w:ascii="Times New Roman" w:hAnsi="Times New Roman" w:cs="Times New Roman"/>
          <w:sz w:val="28"/>
          <w:szCs w:val="28"/>
        </w:rPr>
      </w:pPr>
    </w:p>
    <w:p w:rsidR="006B1863" w:rsidRDefault="006B1863" w:rsidP="00B64320">
      <w:pPr>
        <w:rPr>
          <w:rFonts w:ascii="Times New Roman" w:hAnsi="Times New Roman" w:cs="Times New Roman"/>
          <w:sz w:val="28"/>
          <w:szCs w:val="28"/>
        </w:rPr>
      </w:pPr>
    </w:p>
    <w:p w:rsidR="0041560A" w:rsidRDefault="0041560A" w:rsidP="00B64320">
      <w:pPr>
        <w:rPr>
          <w:rFonts w:ascii="Times New Roman" w:hAnsi="Times New Roman" w:cs="Times New Roman"/>
          <w:sz w:val="28"/>
          <w:szCs w:val="28"/>
        </w:rPr>
      </w:pPr>
    </w:p>
    <w:p w:rsidR="0041560A" w:rsidRPr="00B64320" w:rsidRDefault="0041560A" w:rsidP="00B64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9-20 at 15.47.28_42fb5035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60A" w:rsidRPr="00B64320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551" w:rsidRDefault="00817551" w:rsidP="005464F3">
      <w:pPr>
        <w:spacing w:after="0" w:line="240" w:lineRule="auto"/>
      </w:pPr>
      <w:r>
        <w:separator/>
      </w:r>
    </w:p>
  </w:endnote>
  <w:endnote w:type="continuationSeparator" w:id="0">
    <w:p w:rsidR="00817551" w:rsidRDefault="00817551" w:rsidP="00546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551" w:rsidRDefault="00817551" w:rsidP="005464F3">
      <w:pPr>
        <w:spacing w:after="0" w:line="240" w:lineRule="auto"/>
      </w:pPr>
      <w:r>
        <w:separator/>
      </w:r>
    </w:p>
  </w:footnote>
  <w:footnote w:type="continuationSeparator" w:id="0">
    <w:p w:rsidR="00817551" w:rsidRDefault="00817551" w:rsidP="00546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6EB" w:rsidRDefault="002A06EB">
    <w:pPr>
      <w:pStyle w:val="Header"/>
    </w:pPr>
  </w:p>
  <w:p w:rsidR="005155BF" w:rsidRDefault="005155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4F3"/>
    <w:rsid w:val="0025613F"/>
    <w:rsid w:val="002A06EB"/>
    <w:rsid w:val="00414A19"/>
    <w:rsid w:val="0041560A"/>
    <w:rsid w:val="004A642D"/>
    <w:rsid w:val="004B4FDC"/>
    <w:rsid w:val="005155BF"/>
    <w:rsid w:val="005464F3"/>
    <w:rsid w:val="005576A0"/>
    <w:rsid w:val="0065070A"/>
    <w:rsid w:val="006B1863"/>
    <w:rsid w:val="00817551"/>
    <w:rsid w:val="008D5CAE"/>
    <w:rsid w:val="009F6DED"/>
    <w:rsid w:val="00AB182F"/>
    <w:rsid w:val="00B64320"/>
    <w:rsid w:val="00BE2E31"/>
    <w:rsid w:val="00C16DDA"/>
    <w:rsid w:val="00D110FD"/>
    <w:rsid w:val="00D2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0C8A"/>
  <w15:chartTrackingRefBased/>
  <w15:docId w15:val="{21E58092-548C-4634-A9E4-92495964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4F3"/>
  </w:style>
  <w:style w:type="paragraph" w:styleId="Footer">
    <w:name w:val="footer"/>
    <w:basedOn w:val="Normal"/>
    <w:link w:val="FooterChar"/>
    <w:uiPriority w:val="99"/>
    <w:unhideWhenUsed/>
    <w:rsid w:val="0054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4F3"/>
  </w:style>
  <w:style w:type="character" w:styleId="PlaceholderText">
    <w:name w:val="Placeholder Text"/>
    <w:basedOn w:val="DefaultParagraphFont"/>
    <w:uiPriority w:val="99"/>
    <w:semiHidden/>
    <w:rsid w:val="005155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chart" Target="charts/chart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i-v</a:t>
            </a:r>
            <a:r>
              <a:rPr lang="en-US" baseline="0"/>
              <a:t> relation for first</a:t>
            </a:r>
            <a:endParaRPr lang="en-US"/>
          </a:p>
        </c:rich>
      </c:tx>
      <c:layout>
        <c:manualLayout>
          <c:xMode val="edge"/>
          <c:yMode val="edge"/>
          <c:x val="0.37061333479148439"/>
          <c:y val="3.17460317460317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Sheet1!$A$2:$A$16</c:f>
              <c:numCache>
                <c:formatCode>General</c:formatCode>
                <c:ptCount val="15"/>
                <c:pt idx="0">
                  <c:v>0.47499999999999998</c:v>
                </c:pt>
                <c:pt idx="1">
                  <c:v>0.76300000000000001</c:v>
                </c:pt>
                <c:pt idx="2">
                  <c:v>0.92800000000000005</c:v>
                </c:pt>
                <c:pt idx="3">
                  <c:v>1.04</c:v>
                </c:pt>
                <c:pt idx="4">
                  <c:v>1.1259999999999999</c:v>
                </c:pt>
                <c:pt idx="5">
                  <c:v>1.1839999999999999</c:v>
                </c:pt>
                <c:pt idx="6">
                  <c:v>1.22</c:v>
                </c:pt>
                <c:pt idx="7">
                  <c:v>1.2509999999999999</c:v>
                </c:pt>
                <c:pt idx="8">
                  <c:v>1.2729999999999999</c:v>
                </c:pt>
                <c:pt idx="9">
                  <c:v>1.2869999999999999</c:v>
                </c:pt>
                <c:pt idx="10">
                  <c:v>1.296</c:v>
                </c:pt>
                <c:pt idx="11">
                  <c:v>1.292</c:v>
                </c:pt>
                <c:pt idx="12">
                  <c:v>1.28</c:v>
                </c:pt>
                <c:pt idx="13">
                  <c:v>1.2370000000000001</c:v>
                </c:pt>
                <c:pt idx="14">
                  <c:v>1.1499999999999999</c:v>
                </c:pt>
              </c:numCache>
            </c:numRef>
          </c:xVal>
          <c:yVal>
            <c:numRef>
              <c:f>Sheet1!$B$2:$B$16</c:f>
              <c:numCache>
                <c:formatCode>General</c:formatCode>
                <c:ptCount val="15"/>
                <c:pt idx="0">
                  <c:v>9.5E-4</c:v>
                </c:pt>
                <c:pt idx="1">
                  <c:v>7.6300000000000001E-4</c:v>
                </c:pt>
                <c:pt idx="2">
                  <c:v>6.1899999999999998E-4</c:v>
                </c:pt>
                <c:pt idx="3">
                  <c:v>5.1999999999999995E-4</c:v>
                </c:pt>
                <c:pt idx="4">
                  <c:v>4.4999999999999999E-4</c:v>
                </c:pt>
                <c:pt idx="5">
                  <c:v>3.9500000000000001E-4</c:v>
                </c:pt>
                <c:pt idx="6">
                  <c:v>3.4900000000000003E-4</c:v>
                </c:pt>
                <c:pt idx="7">
                  <c:v>3.1300000000000002E-4</c:v>
                </c:pt>
                <c:pt idx="8">
                  <c:v>2.8299999999999999E-4</c:v>
                </c:pt>
                <c:pt idx="9">
                  <c:v>2.5700000000000001E-4</c:v>
                </c:pt>
                <c:pt idx="10">
                  <c:v>2.3599999999999999E-4</c:v>
                </c:pt>
                <c:pt idx="11">
                  <c:v>2.1499999999999999E-4</c:v>
                </c:pt>
                <c:pt idx="12">
                  <c:v>1.83E-4</c:v>
                </c:pt>
                <c:pt idx="13">
                  <c:v>1.55E-4</c:v>
                </c:pt>
                <c:pt idx="14">
                  <c:v>1.2799999999999999E-4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7E5-4644-B66C-6310B5C2FC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53051360"/>
        <c:axId val="1753045952"/>
      </c:scatterChart>
      <c:valAx>
        <c:axId val="17530513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9598279381743948"/>
              <c:y val="0.903948256467941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3045952"/>
        <c:crosses val="autoZero"/>
        <c:crossBetween val="midCat"/>
      </c:valAx>
      <c:valAx>
        <c:axId val="1753045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aseline="0"/>
                  <a:t>current (i)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30513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i-v relation for second</a:t>
            </a:r>
            <a:endParaRPr lang="en-US">
              <a:effectLst/>
            </a:endParaRPr>
          </a:p>
        </c:rich>
      </c:tx>
      <c:layout>
        <c:manualLayout>
          <c:xMode val="edge"/>
          <c:yMode val="edge"/>
          <c:x val="0.43520250072907546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Sheet1!$A$2:$A$7</c:f>
              <c:numCache>
                <c:formatCode>General</c:formatCode>
                <c:ptCount val="6"/>
                <c:pt idx="0">
                  <c:v>0.67800000000000005</c:v>
                </c:pt>
                <c:pt idx="1">
                  <c:v>0.76300000000000001</c:v>
                </c:pt>
                <c:pt idx="2">
                  <c:v>0.871</c:v>
                </c:pt>
                <c:pt idx="3">
                  <c:v>0.92800000000000005</c:v>
                </c:pt>
                <c:pt idx="4">
                  <c:v>1.08</c:v>
                </c:pt>
                <c:pt idx="5">
                  <c:v>1.2090000000000001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8.2700000000000004E-4</c:v>
                </c:pt>
                <c:pt idx="1">
                  <c:v>7.6300000000000001E-4</c:v>
                </c:pt>
                <c:pt idx="2">
                  <c:v>6.7000000000000002E-4</c:v>
                </c:pt>
                <c:pt idx="3">
                  <c:v>6.1899999999999998E-4</c:v>
                </c:pt>
                <c:pt idx="4">
                  <c:v>4.9100000000000001E-4</c:v>
                </c:pt>
                <c:pt idx="5">
                  <c:v>3.6600000000000001E-4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017-4547-9333-19C836A349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53045120"/>
        <c:axId val="1753056352"/>
      </c:scatterChart>
      <c:valAx>
        <c:axId val="1753045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voltage (V)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3056352"/>
        <c:crosses val="autoZero"/>
        <c:crossBetween val="midCat"/>
      </c:valAx>
      <c:valAx>
        <c:axId val="1753056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current (i)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3045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</a:t>
            </a:r>
            <a:r>
              <a:rPr lang="en-US" baseline="-25000"/>
              <a:t>Th</a:t>
            </a:r>
            <a:r>
              <a:rPr lang="en-US" baseline="0"/>
              <a:t> vs I</a:t>
            </a:r>
            <a:r>
              <a:rPr lang="en-US" baseline="-25000"/>
              <a:t>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Sheet1!$A$2:$A$4</c:f>
              <c:numCache>
                <c:formatCode>General</c:formatCode>
                <c:ptCount val="3"/>
                <c:pt idx="0">
                  <c:v>0</c:v>
                </c:pt>
                <c:pt idx="1">
                  <c:v>1.885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1.3640000000000001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CA-4E5F-B115-65C909FE46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787008"/>
        <c:axId val="1969792416"/>
      </c:scatterChart>
      <c:valAx>
        <c:axId val="1969787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voltage (V)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9792416"/>
        <c:crosses val="autoZero"/>
        <c:crossBetween val="midCat"/>
      </c:valAx>
      <c:valAx>
        <c:axId val="1969792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current (i)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97870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  <a:p>
            <a:pPr>
              <a:defRPr/>
            </a:pPr>
            <a:r>
              <a:rPr lang="en-US"/>
              <a:t>PL/Pmax</a:t>
            </a:r>
            <a:r>
              <a:rPr lang="en-US" baseline="0"/>
              <a:t> vs RL</a:t>
            </a:r>
            <a:endParaRPr lang="en-US"/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Sheet1!$A$2:$A$16</c:f>
              <c:numCache>
                <c:formatCode>General</c:formatCode>
                <c:ptCount val="15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  <c:pt idx="10">
                  <c:v>5500</c:v>
                </c:pt>
                <c:pt idx="11">
                  <c:v>6000</c:v>
                </c:pt>
                <c:pt idx="12">
                  <c:v>7000</c:v>
                </c:pt>
                <c:pt idx="13">
                  <c:v>8000</c:v>
                </c:pt>
                <c:pt idx="14">
                  <c:v>9000</c:v>
                </c:pt>
              </c:numCache>
            </c:numRef>
          </c:xVal>
          <c:yVal>
            <c:numRef>
              <c:f>Sheet1!$B$2:$B$16</c:f>
              <c:numCache>
                <c:formatCode>General</c:formatCode>
                <c:ptCount val="15"/>
                <c:pt idx="0">
                  <c:v>0.29150500000000001</c:v>
                </c:pt>
                <c:pt idx="1">
                  <c:v>0.37607800000000002</c:v>
                </c:pt>
                <c:pt idx="2">
                  <c:v>0.37087999999999999</c:v>
                </c:pt>
                <c:pt idx="3">
                  <c:v>0.349354</c:v>
                </c:pt>
                <c:pt idx="4">
                  <c:v>0.32761699999999999</c:v>
                </c:pt>
                <c:pt idx="5">
                  <c:v>0.30186400000000002</c:v>
                </c:pt>
                <c:pt idx="6">
                  <c:v>0.27471400000000001</c:v>
                </c:pt>
                <c:pt idx="7">
                  <c:v>0.25274600000000003</c:v>
                </c:pt>
                <c:pt idx="8">
                  <c:v>0.23263400000000001</c:v>
                </c:pt>
                <c:pt idx="9">
                  <c:v>0.214001</c:v>
                </c:pt>
                <c:pt idx="10">
                  <c:v>0.19727700000000001</c:v>
                </c:pt>
                <c:pt idx="11">
                  <c:v>0.17972299999999999</c:v>
                </c:pt>
                <c:pt idx="12">
                  <c:v>0.1512</c:v>
                </c:pt>
                <c:pt idx="13">
                  <c:v>0.12356</c:v>
                </c:pt>
                <c:pt idx="14">
                  <c:v>9.4924999999999995E-2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1AC-4E5B-B79E-CBCC8AB169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797824"/>
        <c:axId val="1969793664"/>
      </c:scatterChart>
      <c:valAx>
        <c:axId val="1969797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RL(</a:t>
                </a:r>
                <a:r>
                  <a:rPr lang="el-GR" sz="1800" b="0" i="0" baseline="0">
                    <a:effectLst/>
                  </a:rPr>
                  <a:t>Ω</a:t>
                </a:r>
                <a:r>
                  <a:rPr lang="en-US" sz="1800" b="0" i="0" baseline="0">
                    <a:effectLst/>
                  </a:rPr>
                  <a:t>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9793664"/>
        <c:crosses val="autoZero"/>
        <c:crossBetween val="midCat"/>
      </c:valAx>
      <c:valAx>
        <c:axId val="1969793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PL/Pmax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97978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PL/Pmax vs RL</a:t>
            </a:r>
            <a:endParaRPr lang="en-US">
              <a:effectLst/>
            </a:endParaRPr>
          </a:p>
        </c:rich>
      </c:tx>
      <c:layout>
        <c:manualLayout>
          <c:xMode val="edge"/>
          <c:yMode val="edge"/>
          <c:x val="0.4375173155438902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Sheet1!$A$2:$A$7</c:f>
              <c:numCache>
                <c:formatCode>General</c:formatCode>
                <c:ptCount val="6"/>
                <c:pt idx="0">
                  <c:v>820</c:v>
                </c:pt>
                <c:pt idx="1">
                  <c:v>1000</c:v>
                </c:pt>
                <c:pt idx="2">
                  <c:v>1300</c:v>
                </c:pt>
                <c:pt idx="3">
                  <c:v>1500</c:v>
                </c:pt>
                <c:pt idx="4">
                  <c:v>2200</c:v>
                </c:pt>
                <c:pt idx="5">
                  <c:v>3300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0.36213800000000002</c:v>
                </c:pt>
                <c:pt idx="1">
                  <c:v>0.37607800000000002</c:v>
                </c:pt>
                <c:pt idx="2">
                  <c:v>0.37698300000000001</c:v>
                </c:pt>
                <c:pt idx="3">
                  <c:v>0.37087999999999999</c:v>
                </c:pt>
                <c:pt idx="4">
                  <c:v>0.34249499999999999</c:v>
                </c:pt>
                <c:pt idx="5">
                  <c:v>0.28613300000000003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658-4EBD-92D0-202E8B96B6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855200"/>
        <c:axId val="2108851872"/>
      </c:scatterChart>
      <c:valAx>
        <c:axId val="21088552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RL(</a:t>
                </a:r>
                <a:r>
                  <a:rPr lang="el-GR" sz="1800" b="0" i="0" baseline="0">
                    <a:effectLst/>
                  </a:rPr>
                  <a:t>Ω</a:t>
                </a:r>
                <a:r>
                  <a:rPr lang="en-US" sz="1800" b="0" i="0" baseline="0">
                    <a:effectLst/>
                  </a:rPr>
                  <a:t>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8851872"/>
        <c:crosses val="autoZero"/>
        <c:crossBetween val="midCat"/>
      </c:valAx>
      <c:valAx>
        <c:axId val="2108851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</a:t>
                </a:r>
                <a:r>
                  <a:rPr lang="en-US" sz="1000" b="0" i="0" u="none" strike="noStrike" baseline="0">
                    <a:effectLst/>
                  </a:rPr>
                  <a:t>PL/Pmax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88552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Efficiency vs RL</a:t>
            </a:r>
            <a:endParaRPr lang="en-US">
              <a:effectLst/>
            </a:endParaRPr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layout>
        <c:manualLayout>
          <c:xMode val="edge"/>
          <c:yMode val="edge"/>
          <c:x val="0.43751731554389028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Sheet1!$A$2:$A$16</c:f>
              <c:numCache>
                <c:formatCode>General</c:formatCode>
                <c:ptCount val="15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  <c:pt idx="10">
                  <c:v>5500</c:v>
                </c:pt>
                <c:pt idx="11">
                  <c:v>6000</c:v>
                </c:pt>
                <c:pt idx="12">
                  <c:v>7000</c:v>
                </c:pt>
                <c:pt idx="13">
                  <c:v>8000</c:v>
                </c:pt>
                <c:pt idx="14">
                  <c:v>9000</c:v>
                </c:pt>
              </c:numCache>
            </c:numRef>
          </c:xVal>
          <c:yVal>
            <c:numRef>
              <c:f>Sheet1!$B$2:$B$16</c:f>
              <c:numCache>
                <c:formatCode>General</c:formatCode>
                <c:ptCount val="15"/>
                <c:pt idx="0">
                  <c:v>9.5000000000000001E-2</c:v>
                </c:pt>
                <c:pt idx="1">
                  <c:v>0.15260000000000001</c:v>
                </c:pt>
                <c:pt idx="2">
                  <c:v>0.18559999999999999</c:v>
                </c:pt>
                <c:pt idx="3">
                  <c:v>0.20799999999999999</c:v>
                </c:pt>
                <c:pt idx="4">
                  <c:v>0.22520000000000001</c:v>
                </c:pt>
                <c:pt idx="5">
                  <c:v>0.23680000000000001</c:v>
                </c:pt>
                <c:pt idx="6">
                  <c:v>0.24399999999999999</c:v>
                </c:pt>
                <c:pt idx="7">
                  <c:v>0.25019999999999998</c:v>
                </c:pt>
                <c:pt idx="8">
                  <c:v>0.25459999999999999</c:v>
                </c:pt>
                <c:pt idx="9">
                  <c:v>0.25740000000000002</c:v>
                </c:pt>
                <c:pt idx="10">
                  <c:v>0.25919999999999999</c:v>
                </c:pt>
                <c:pt idx="11">
                  <c:v>0.25840000000000002</c:v>
                </c:pt>
                <c:pt idx="12">
                  <c:v>0.25600000000000001</c:v>
                </c:pt>
                <c:pt idx="13">
                  <c:v>0.24740000000000001</c:v>
                </c:pt>
                <c:pt idx="14">
                  <c:v>0.23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99F-438F-B58C-3A0B01A669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862208"/>
        <c:axId val="2108856800"/>
      </c:scatterChart>
      <c:valAx>
        <c:axId val="21088622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RL(</a:t>
                </a:r>
                <a:r>
                  <a:rPr lang="el-GR" sz="1800" b="0" i="0" baseline="0">
                    <a:effectLst/>
                  </a:rPr>
                  <a:t>Ω</a:t>
                </a:r>
                <a:r>
                  <a:rPr lang="en-US" sz="1800" b="0" i="0" baseline="0">
                    <a:effectLst/>
                  </a:rPr>
                  <a:t>)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8856800"/>
        <c:crosses val="autoZero"/>
        <c:crossBetween val="midCat"/>
      </c:valAx>
      <c:valAx>
        <c:axId val="2108856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Efficiency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88622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Efficiency vs RL</a:t>
            </a:r>
            <a:endParaRPr lang="en-US">
              <a:effectLst/>
            </a:endParaRPr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Sheet1!$A$2:$A$7</c:f>
              <c:numCache>
                <c:formatCode>General</c:formatCode>
                <c:ptCount val="6"/>
                <c:pt idx="0">
                  <c:v>820</c:v>
                </c:pt>
                <c:pt idx="1">
                  <c:v>1000</c:v>
                </c:pt>
                <c:pt idx="2">
                  <c:v>1300</c:v>
                </c:pt>
                <c:pt idx="3">
                  <c:v>1500</c:v>
                </c:pt>
                <c:pt idx="4">
                  <c:v>2200</c:v>
                </c:pt>
                <c:pt idx="5">
                  <c:v>3300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0.1356</c:v>
                </c:pt>
                <c:pt idx="1">
                  <c:v>0.15260000000000001</c:v>
                </c:pt>
                <c:pt idx="2">
                  <c:v>0.17419999999999999</c:v>
                </c:pt>
                <c:pt idx="3">
                  <c:v>0.18559999999999999</c:v>
                </c:pt>
                <c:pt idx="4">
                  <c:v>0.216</c:v>
                </c:pt>
                <c:pt idx="5">
                  <c:v>0.24179999999999999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C4A-4590-8858-366ED35A0D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799072"/>
        <c:axId val="1969799488"/>
      </c:scatterChart>
      <c:valAx>
        <c:axId val="1969799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RL(</a:t>
                </a:r>
                <a:r>
                  <a:rPr lang="el-GR" sz="1800" b="0" i="0" baseline="0">
                    <a:effectLst/>
                  </a:rPr>
                  <a:t>Ω</a:t>
                </a:r>
                <a:r>
                  <a:rPr lang="en-US" sz="1800" b="0" i="0" baseline="0">
                    <a:effectLst/>
                  </a:rPr>
                  <a:t>)</a:t>
                </a:r>
                <a:endParaRPr lang="en-US">
                  <a:effectLst/>
                </a:endParaRPr>
              </a:p>
            </c:rich>
          </c:tx>
          <c:layout>
            <c:manualLayout>
              <c:xMode val="edge"/>
              <c:yMode val="edge"/>
              <c:x val="0.48554881160688246"/>
              <c:y val="0.8960117485314336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9799488"/>
        <c:crosses val="autoZero"/>
        <c:crossBetween val="midCat"/>
      </c:valAx>
      <c:valAx>
        <c:axId val="1969799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Efficiency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97990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94839-35ED-43CA-B759-1AF530FA1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6</cp:revision>
  <dcterms:created xsi:type="dcterms:W3CDTF">2025-09-22T06:24:00Z</dcterms:created>
  <dcterms:modified xsi:type="dcterms:W3CDTF">2025-09-22T09:41:00Z</dcterms:modified>
</cp:coreProperties>
</file>