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5B2453EC" w:rsidR="00CE6EAA" w:rsidRPr="00BF1BF9" w:rsidRDefault="00AF35A4" w:rsidP="00FF3503">
      <w:pPr>
        <w:spacing w:before="100" w:beforeAutospacing="1" w:after="100" w:afterAutospacing="1"/>
        <w:jc w:val="center"/>
        <w:rPr>
          <w:rFonts w:ascii="Myriad Pro" w:hAnsi="Myriad Pro"/>
          <w:i/>
          <w:sz w:val="22"/>
          <w:szCs w:val="22"/>
        </w:rPr>
      </w:pPr>
      <w:r>
        <w:rPr>
          <w:rFonts w:ascii="Myriad Pro" w:hAnsi="Myriad Pro"/>
          <w:i/>
          <w:sz w:val="22"/>
          <w:szCs w:val="22"/>
        </w:rPr>
        <w:t>Geophysical Research Letters</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59F910A1" w14:textId="356BA3E2" w:rsidR="00FF3503" w:rsidRPr="00B77E40" w:rsidRDefault="00AF35A4" w:rsidP="00FF3503">
      <w:pPr>
        <w:spacing w:before="100" w:beforeAutospacing="1" w:after="100" w:afterAutospacing="1"/>
        <w:jc w:val="center"/>
        <w:rPr>
          <w:rFonts w:ascii="Myriad Pro" w:hAnsi="Myriad Pro"/>
          <w:b/>
          <w:sz w:val="22"/>
          <w:szCs w:val="22"/>
        </w:rPr>
      </w:pPr>
      <w:r>
        <w:rPr>
          <w:rFonts w:ascii="Myriad Pro" w:hAnsi="Myriad Pro"/>
          <w:b/>
          <w:sz w:val="22"/>
          <w:szCs w:val="22"/>
        </w:rPr>
        <w:t>Repeat Subglacial Lake Drainage and Filling beneath Thwaites Glacier</w:t>
      </w:r>
    </w:p>
    <w:p w14:paraId="42FFC78E" w14:textId="3AC8351F" w:rsidR="00FF3503" w:rsidRDefault="00AF35A4" w:rsidP="00FF3503">
      <w:pPr>
        <w:spacing w:before="100" w:beforeAutospacing="1" w:after="100" w:afterAutospacing="1"/>
        <w:jc w:val="center"/>
        <w:rPr>
          <w:rFonts w:ascii="Myriad Pro" w:hAnsi="Myriad Pro"/>
          <w:sz w:val="22"/>
          <w:szCs w:val="22"/>
        </w:rPr>
      </w:pPr>
      <w:r>
        <w:rPr>
          <w:rFonts w:ascii="Myriad Pro" w:hAnsi="Myriad Pro"/>
          <w:sz w:val="22"/>
          <w:szCs w:val="22"/>
        </w:rPr>
        <w:t>G. Malczyk</w:t>
      </w:r>
      <w:r w:rsidRPr="00AF35A4">
        <w:rPr>
          <w:rFonts w:ascii="Myriad Pro" w:hAnsi="Myriad Pro"/>
          <w:sz w:val="22"/>
          <w:szCs w:val="22"/>
          <w:vertAlign w:val="superscript"/>
        </w:rPr>
        <w:t>1</w:t>
      </w:r>
      <w:r>
        <w:rPr>
          <w:rFonts w:ascii="Myriad Pro" w:hAnsi="Myriad Pro"/>
          <w:sz w:val="22"/>
          <w:szCs w:val="22"/>
        </w:rPr>
        <w:t>, N. Gourmelen</w:t>
      </w:r>
      <w:r w:rsidRPr="00AF35A4">
        <w:rPr>
          <w:rFonts w:ascii="Myriad Pro" w:hAnsi="Myriad Pro"/>
          <w:sz w:val="22"/>
          <w:szCs w:val="22"/>
          <w:vertAlign w:val="superscript"/>
        </w:rPr>
        <w:t>1</w:t>
      </w:r>
      <w:r>
        <w:rPr>
          <w:rFonts w:ascii="Myriad Pro" w:hAnsi="Myriad Pro"/>
          <w:sz w:val="22"/>
          <w:szCs w:val="22"/>
        </w:rPr>
        <w:t>, D. Goldberg</w:t>
      </w:r>
      <w:r w:rsidRPr="00AF35A4">
        <w:rPr>
          <w:rFonts w:ascii="Myriad Pro" w:hAnsi="Myriad Pro"/>
          <w:sz w:val="22"/>
          <w:szCs w:val="22"/>
          <w:vertAlign w:val="superscript"/>
        </w:rPr>
        <w:t>1</w:t>
      </w:r>
      <w:r>
        <w:rPr>
          <w:rFonts w:ascii="Myriad Pro" w:hAnsi="Myriad Pro"/>
          <w:sz w:val="22"/>
          <w:szCs w:val="22"/>
        </w:rPr>
        <w:t>, J. Wuite</w:t>
      </w:r>
      <w:r w:rsidRPr="00AF35A4">
        <w:rPr>
          <w:rFonts w:ascii="Myriad Pro" w:hAnsi="Myriad Pro"/>
          <w:sz w:val="22"/>
          <w:szCs w:val="22"/>
          <w:vertAlign w:val="superscript"/>
        </w:rPr>
        <w:t>2</w:t>
      </w:r>
      <w:r>
        <w:rPr>
          <w:rFonts w:ascii="Myriad Pro" w:hAnsi="Myriad Pro"/>
          <w:sz w:val="22"/>
          <w:szCs w:val="22"/>
        </w:rPr>
        <w:t>, and T. Nagler</w:t>
      </w:r>
      <w:r w:rsidRPr="00AF35A4">
        <w:rPr>
          <w:rFonts w:ascii="Myriad Pro" w:hAnsi="Myriad Pro"/>
          <w:sz w:val="22"/>
          <w:szCs w:val="22"/>
          <w:vertAlign w:val="superscript"/>
        </w:rPr>
        <w:t>2</w:t>
      </w:r>
    </w:p>
    <w:p w14:paraId="69976EF8" w14:textId="4519F6EC" w:rsidR="00B77E40" w:rsidRDefault="00AF35A4" w:rsidP="00FF3503">
      <w:pPr>
        <w:spacing w:before="100" w:beforeAutospacing="1" w:after="100" w:afterAutospacing="1"/>
        <w:jc w:val="center"/>
        <w:rPr>
          <w:rFonts w:ascii="Myriad Pro" w:hAnsi="Myriad Pro"/>
          <w:sz w:val="18"/>
          <w:szCs w:val="18"/>
        </w:rPr>
      </w:pPr>
      <w:r w:rsidRPr="009B25E9">
        <w:rPr>
          <w:rFonts w:ascii="Myriad Pro" w:hAnsi="Myriad Pro"/>
          <w:sz w:val="18"/>
          <w:szCs w:val="18"/>
          <w:vertAlign w:val="superscript"/>
        </w:rPr>
        <w:t>1</w:t>
      </w:r>
      <w:r>
        <w:rPr>
          <w:rFonts w:ascii="Myriad Pro" w:hAnsi="Myriad Pro"/>
          <w:sz w:val="18"/>
          <w:szCs w:val="18"/>
        </w:rPr>
        <w:t>School of Geosciences, University of Edinburgh, Edinburgh, UK.</w:t>
      </w:r>
    </w:p>
    <w:p w14:paraId="09834DE5" w14:textId="21A4A9FC" w:rsidR="00AF35A4" w:rsidRPr="00B77E40" w:rsidRDefault="00AF35A4" w:rsidP="00FF3503">
      <w:pPr>
        <w:spacing w:before="100" w:beforeAutospacing="1" w:after="100" w:afterAutospacing="1"/>
        <w:jc w:val="center"/>
        <w:rPr>
          <w:rFonts w:ascii="Myriad Pro" w:hAnsi="Myriad Pro"/>
          <w:sz w:val="18"/>
          <w:szCs w:val="18"/>
        </w:rPr>
      </w:pPr>
      <w:r w:rsidRPr="009B25E9">
        <w:rPr>
          <w:rFonts w:ascii="Myriad Pro" w:hAnsi="Myriad Pro"/>
          <w:sz w:val="18"/>
          <w:szCs w:val="18"/>
          <w:vertAlign w:val="superscript"/>
        </w:rPr>
        <w:t>2</w:t>
      </w:r>
      <w:r>
        <w:rPr>
          <w:rFonts w:ascii="Myriad Pro" w:hAnsi="Myriad Pro"/>
          <w:sz w:val="18"/>
          <w:szCs w:val="18"/>
        </w:rPr>
        <w:t>ENVEO IT GmbH, Innsbruck, Austria.</w:t>
      </w:r>
    </w:p>
    <w:p w14:paraId="71891EDF" w14:textId="77777777" w:rsidR="00094365" w:rsidRPr="00CE6EAA" w:rsidRDefault="00A50033" w:rsidP="00825950">
      <w:pPr>
        <w:spacing w:before="100" w:beforeAutospacing="1" w:after="100" w:afterAutospacing="1"/>
        <w:jc w:val="center"/>
        <w:rPr>
          <w:rFonts w:ascii="Myriad Pro" w:hAnsi="Myriad Pro"/>
          <w:sz w:val="22"/>
          <w:szCs w:val="22"/>
        </w:rPr>
      </w:pPr>
      <w:r w:rsidRPr="00CE6EAA" w:rsidDel="00A50033">
        <w:rPr>
          <w:rFonts w:ascii="Myriad Pro" w:hAnsi="Myriad Pro"/>
          <w:sz w:val="22"/>
          <w:szCs w:val="22"/>
        </w:rPr>
        <w:t xml:space="preserve"> </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3D1CAEA0" w14:textId="12A0757B" w:rsidR="00111843" w:rsidRPr="00CE6EAA" w:rsidRDefault="00111843" w:rsidP="00111843">
      <w:pPr>
        <w:ind w:left="720"/>
        <w:rPr>
          <w:rFonts w:ascii="Myriad Pro" w:hAnsi="Myriad Pro"/>
          <w:sz w:val="22"/>
          <w:szCs w:val="22"/>
        </w:rPr>
      </w:pPr>
      <w:r w:rsidRPr="00CE6EAA">
        <w:rPr>
          <w:rFonts w:ascii="Myriad Pro" w:hAnsi="Myriad Pro"/>
          <w:sz w:val="22"/>
          <w:szCs w:val="22"/>
        </w:rPr>
        <w:t>Text S1</w:t>
      </w:r>
      <w:r w:rsidR="00A551A2">
        <w:rPr>
          <w:rFonts w:ascii="Myriad Pro" w:hAnsi="Myriad Pro"/>
          <w:sz w:val="22"/>
          <w:szCs w:val="22"/>
        </w:rPr>
        <w:t xml:space="preserve"> to S</w:t>
      </w:r>
      <w:r w:rsidR="002D2E8D">
        <w:rPr>
          <w:rFonts w:ascii="Myriad Pro" w:hAnsi="Myriad Pro"/>
          <w:sz w:val="22"/>
          <w:szCs w:val="22"/>
        </w:rPr>
        <w:t>4</w:t>
      </w:r>
    </w:p>
    <w:p w14:paraId="795CD27E" w14:textId="49E042E9" w:rsidR="00111843" w:rsidRPr="00AF35A4" w:rsidRDefault="00111843" w:rsidP="00AF35A4">
      <w:pPr>
        <w:ind w:left="720"/>
        <w:rPr>
          <w:rFonts w:ascii="Myriad Pro" w:hAnsi="Myriad Pro"/>
          <w:sz w:val="22"/>
          <w:szCs w:val="22"/>
        </w:rPr>
      </w:pPr>
      <w:r w:rsidRPr="00CE6EAA">
        <w:rPr>
          <w:rFonts w:ascii="Myriad Pro" w:hAnsi="Myriad Pro"/>
          <w:sz w:val="22"/>
          <w:szCs w:val="22"/>
        </w:rPr>
        <w:t>Figures S1 to S</w:t>
      </w:r>
      <w:r w:rsidR="00AF35A4">
        <w:rPr>
          <w:rFonts w:ascii="Myriad Pro" w:hAnsi="Myriad Pro"/>
          <w:sz w:val="22"/>
          <w:szCs w:val="22"/>
        </w:rPr>
        <w:t>4</w:t>
      </w: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68E95048" w14:textId="59B9C2A2" w:rsidR="00AF1A5C" w:rsidRDefault="00A551A2" w:rsidP="00AF35A4">
      <w:pPr>
        <w:spacing w:before="100" w:beforeAutospacing="1" w:after="100" w:afterAutospacing="1"/>
        <w:rPr>
          <w:rFonts w:ascii="Myriad Pro" w:hAnsi="Myriad Pro"/>
          <w:sz w:val="22"/>
          <w:szCs w:val="22"/>
          <w:lang w:val="en-GB"/>
        </w:rPr>
      </w:pPr>
      <w:r>
        <w:rPr>
          <w:rFonts w:ascii="Myriad Pro" w:hAnsi="Myriad Pro"/>
          <w:sz w:val="22"/>
          <w:szCs w:val="22"/>
          <w:lang w:val="en-GB"/>
        </w:rPr>
        <w:t>This document contains a detailed description of the time series approach used to obtain time dependent elevations (Text S1),</w:t>
      </w:r>
      <w:r w:rsidR="005775A5">
        <w:rPr>
          <w:rFonts w:ascii="Myriad Pro" w:hAnsi="Myriad Pro"/>
          <w:sz w:val="22"/>
          <w:szCs w:val="22"/>
          <w:lang w:val="en-GB"/>
        </w:rPr>
        <w:t xml:space="preserve"> a synopsis of altimetry techniques (Text S2), </w:t>
      </w:r>
      <w:r>
        <w:rPr>
          <w:rFonts w:ascii="Myriad Pro" w:hAnsi="Myriad Pro"/>
          <w:sz w:val="22"/>
          <w:szCs w:val="22"/>
          <w:lang w:val="en-GB"/>
        </w:rPr>
        <w:t>the formula used to calculate hydraulic potential (Text S</w:t>
      </w:r>
      <w:r w:rsidR="005775A5">
        <w:rPr>
          <w:rFonts w:ascii="Myriad Pro" w:hAnsi="Myriad Pro"/>
          <w:sz w:val="22"/>
          <w:szCs w:val="22"/>
          <w:lang w:val="en-GB"/>
        </w:rPr>
        <w:t>3</w:t>
      </w:r>
      <w:r>
        <w:rPr>
          <w:rFonts w:ascii="Myriad Pro" w:hAnsi="Myriad Pro"/>
          <w:sz w:val="22"/>
          <w:szCs w:val="22"/>
          <w:lang w:val="en-GB"/>
        </w:rPr>
        <w:t>) and details regarding the model used to estimate channel size extent</w:t>
      </w:r>
      <w:r w:rsidR="005775A5">
        <w:rPr>
          <w:rFonts w:ascii="Myriad Pro" w:hAnsi="Myriad Pro"/>
          <w:sz w:val="22"/>
          <w:szCs w:val="22"/>
          <w:lang w:val="en-GB"/>
        </w:rPr>
        <w:t xml:space="preserve"> (Text S4)</w:t>
      </w:r>
      <w:r>
        <w:rPr>
          <w:rFonts w:ascii="Myriad Pro" w:hAnsi="Myriad Pro"/>
          <w:sz w:val="22"/>
          <w:szCs w:val="22"/>
          <w:lang w:val="en-GB"/>
        </w:rPr>
        <w:t>. Figures displaying a divergence map of the Thwaites lake region (Figure S1), primary wind direction over Thwaites (Figure S2) and corresponding rates of surface elevation change profiles (Figure S3), and potential gradients between the subglacial lakes (Figure S4).</w:t>
      </w:r>
    </w:p>
    <w:p w14:paraId="7D415E0D" w14:textId="65838AA8" w:rsidR="004D5EDC" w:rsidRPr="004D5EDC" w:rsidRDefault="004D5EDC" w:rsidP="00AF35A4">
      <w:pPr>
        <w:spacing w:before="100" w:beforeAutospacing="1" w:after="100" w:afterAutospacing="1"/>
        <w:rPr>
          <w:rFonts w:ascii="Myriad Pro" w:hAnsi="Myriad Pro"/>
          <w:b/>
          <w:bCs/>
          <w:szCs w:val="24"/>
          <w:lang w:val="en-GB"/>
        </w:rPr>
      </w:pPr>
      <w:r w:rsidRPr="004D5EDC">
        <w:rPr>
          <w:rFonts w:ascii="Myriad Pro" w:hAnsi="Myriad Pro"/>
          <w:b/>
          <w:bCs/>
          <w:szCs w:val="24"/>
          <w:lang w:val="en-GB"/>
        </w:rPr>
        <w:t>Text S1. Detailed description of adapted timeseries approach</w:t>
      </w:r>
    </w:p>
    <w:p w14:paraId="1CD2296C" w14:textId="3B636CA5" w:rsidR="009D1A62" w:rsidRDefault="004D5EDC" w:rsidP="00AF35A4">
      <w:pPr>
        <w:spacing w:before="100" w:beforeAutospacing="1" w:after="100" w:afterAutospacing="1"/>
        <w:rPr>
          <w:rFonts w:ascii="Myriad Pro" w:hAnsi="Myriad Pro"/>
          <w:sz w:val="22"/>
          <w:szCs w:val="22"/>
          <w:lang w:val="en-GB"/>
        </w:rPr>
      </w:pPr>
      <w:bookmarkStart w:id="0" w:name="_Hlk49338972"/>
      <w:r>
        <w:rPr>
          <w:rFonts w:ascii="Myriad Pro" w:hAnsi="Myriad Pro"/>
          <w:sz w:val="22"/>
          <w:szCs w:val="22"/>
          <w:lang w:val="en-GB"/>
        </w:rPr>
        <w:t>We calculate the temporal height change for specific areas using an adapted version of the point-to-point method outlined in Gr</w:t>
      </w:r>
      <w:r w:rsidR="00120C86">
        <w:rPr>
          <w:rFonts w:ascii="Myriad Pro" w:hAnsi="Myriad Pro"/>
          <w:sz w:val="22"/>
          <w:szCs w:val="22"/>
          <w:lang w:val="en-GB"/>
        </w:rPr>
        <w:t>a</w:t>
      </w:r>
      <w:r>
        <w:rPr>
          <w:rFonts w:ascii="Myriad Pro" w:hAnsi="Myriad Pro"/>
          <w:sz w:val="22"/>
          <w:szCs w:val="22"/>
          <w:lang w:val="en-GB"/>
        </w:rPr>
        <w:t xml:space="preserve">y </w:t>
      </w:r>
      <w:r w:rsidRPr="00D07749">
        <w:rPr>
          <w:rFonts w:ascii="Myriad Pro" w:hAnsi="Myriad Pro"/>
          <w:i/>
          <w:iCs/>
          <w:sz w:val="22"/>
          <w:szCs w:val="22"/>
          <w:lang w:val="en-GB"/>
        </w:rPr>
        <w:t xml:space="preserve">et al., </w:t>
      </w:r>
      <w:r>
        <w:rPr>
          <w:rFonts w:ascii="Myriad Pro" w:hAnsi="Myriad Pro"/>
          <w:sz w:val="22"/>
          <w:szCs w:val="22"/>
          <w:lang w:val="en-GB"/>
        </w:rPr>
        <w:t>(2015) and Gr</w:t>
      </w:r>
      <w:r w:rsidR="00120C86">
        <w:rPr>
          <w:rFonts w:ascii="Myriad Pro" w:hAnsi="Myriad Pro"/>
          <w:sz w:val="22"/>
          <w:szCs w:val="22"/>
          <w:lang w:val="en-GB"/>
        </w:rPr>
        <w:t>a</w:t>
      </w:r>
      <w:r>
        <w:rPr>
          <w:rFonts w:ascii="Myriad Pro" w:hAnsi="Myriad Pro"/>
          <w:sz w:val="22"/>
          <w:szCs w:val="22"/>
          <w:lang w:val="en-GB"/>
        </w:rPr>
        <w:t xml:space="preserve">y </w:t>
      </w:r>
      <w:r w:rsidRPr="00D07749">
        <w:rPr>
          <w:rFonts w:ascii="Myriad Pro" w:hAnsi="Myriad Pro"/>
          <w:i/>
          <w:iCs/>
          <w:sz w:val="22"/>
          <w:szCs w:val="22"/>
          <w:lang w:val="en-GB"/>
        </w:rPr>
        <w:t>et al.,</w:t>
      </w:r>
      <w:r>
        <w:rPr>
          <w:rFonts w:ascii="Myriad Pro" w:hAnsi="Myriad Pro"/>
          <w:sz w:val="22"/>
          <w:szCs w:val="22"/>
          <w:lang w:val="en-GB"/>
        </w:rPr>
        <w:t xml:space="preserve"> (2019). An area is selected over which we want to determine the behaviour of </w:t>
      </w:r>
      <w:r w:rsidR="00B34C87">
        <w:rPr>
          <w:rFonts w:ascii="Myriad Pro" w:hAnsi="Myriad Pro"/>
          <w:sz w:val="22"/>
          <w:szCs w:val="22"/>
          <w:lang w:val="en-GB"/>
        </w:rPr>
        <w:t xml:space="preserve">surface </w:t>
      </w:r>
      <w:r>
        <w:rPr>
          <w:rFonts w:ascii="Myriad Pro" w:hAnsi="Myriad Pro"/>
          <w:sz w:val="22"/>
          <w:szCs w:val="22"/>
          <w:lang w:val="en-GB"/>
        </w:rPr>
        <w:t>elevation through time</w:t>
      </w:r>
      <w:r w:rsidR="00B34C87">
        <w:rPr>
          <w:rFonts w:ascii="Myriad Pro" w:hAnsi="Myriad Pro"/>
          <w:sz w:val="22"/>
          <w:szCs w:val="22"/>
          <w:lang w:val="en-GB"/>
        </w:rPr>
        <w:t>,</w:t>
      </w:r>
      <w:r>
        <w:rPr>
          <w:rFonts w:ascii="Myriad Pro" w:hAnsi="Myriad Pro"/>
          <w:sz w:val="22"/>
          <w:szCs w:val="22"/>
          <w:lang w:val="en-GB"/>
        </w:rPr>
        <w:t xml:space="preserve"> and the corresponding data is segmented into separate time periods at 45-day intervals. </w:t>
      </w:r>
      <w:r w:rsidR="00747E4C">
        <w:rPr>
          <w:rFonts w:ascii="Myriad Pro" w:hAnsi="Myriad Pro"/>
          <w:sz w:val="22"/>
          <w:szCs w:val="22"/>
          <w:lang w:val="en-GB"/>
        </w:rPr>
        <w:t>In each time period we incorporate a 45-day search radius to ensure redundancy and stable results. Because of this</w:t>
      </w:r>
      <w:r w:rsidR="00B34C87">
        <w:rPr>
          <w:rFonts w:ascii="Myriad Pro" w:hAnsi="Myriad Pro"/>
          <w:sz w:val="22"/>
          <w:szCs w:val="22"/>
          <w:lang w:val="en-GB"/>
        </w:rPr>
        <w:t>,</w:t>
      </w:r>
      <w:r w:rsidR="00747E4C">
        <w:rPr>
          <w:rFonts w:ascii="Myriad Pro" w:hAnsi="Myriad Pro"/>
          <w:sz w:val="22"/>
          <w:szCs w:val="22"/>
          <w:lang w:val="en-GB"/>
        </w:rPr>
        <w:t xml:space="preserve"> there is some overlap in the data </w:t>
      </w:r>
      <w:r w:rsidR="00B34C87">
        <w:rPr>
          <w:rFonts w:ascii="Myriad Pro" w:hAnsi="Myriad Pro"/>
          <w:sz w:val="22"/>
          <w:szCs w:val="22"/>
          <w:lang w:val="en-GB"/>
        </w:rPr>
        <w:t>between</w:t>
      </w:r>
      <w:r w:rsidR="00747E4C">
        <w:rPr>
          <w:rFonts w:ascii="Myriad Pro" w:hAnsi="Myriad Pro"/>
          <w:sz w:val="22"/>
          <w:szCs w:val="22"/>
          <w:lang w:val="en-GB"/>
        </w:rPr>
        <w:t xml:space="preserve"> sequential time periods, but this will not skew results as the average of the </w:t>
      </w:r>
      <w:r w:rsidR="00747E4C">
        <w:rPr>
          <w:rFonts w:ascii="Myriad Pro" w:hAnsi="Myriad Pro"/>
          <w:sz w:val="22"/>
          <w:szCs w:val="22"/>
          <w:lang w:val="en-GB"/>
        </w:rPr>
        <w:lastRenderedPageBreak/>
        <w:t>epochs within each search radius centralizes around the time intervals.</w:t>
      </w:r>
      <w:r w:rsidR="003A01E8">
        <w:rPr>
          <w:rFonts w:ascii="Myriad Pro" w:hAnsi="Myriad Pro"/>
          <w:sz w:val="22"/>
          <w:szCs w:val="22"/>
          <w:lang w:val="en-GB"/>
        </w:rPr>
        <w:t xml:space="preserve"> We index our data at a 500</w:t>
      </w:r>
      <w:r w:rsidR="00D07749">
        <w:rPr>
          <w:rFonts w:ascii="Myriad Pro" w:hAnsi="Myriad Pro"/>
          <w:sz w:val="22"/>
          <w:szCs w:val="22"/>
          <w:lang w:val="en-GB"/>
        </w:rPr>
        <w:t>-</w:t>
      </w:r>
      <w:r w:rsidR="003A01E8">
        <w:rPr>
          <w:rFonts w:ascii="Myriad Pro" w:hAnsi="Myriad Pro"/>
          <w:sz w:val="22"/>
          <w:szCs w:val="22"/>
          <w:lang w:val="en-GB"/>
        </w:rPr>
        <w:t>meter gridding</w:t>
      </w:r>
      <w:r w:rsidR="00B34C87">
        <w:rPr>
          <w:rFonts w:ascii="Myriad Pro" w:hAnsi="Myriad Pro"/>
          <w:sz w:val="22"/>
          <w:szCs w:val="22"/>
          <w:lang w:val="en-GB"/>
        </w:rPr>
        <w:t>;</w:t>
      </w:r>
      <w:r w:rsidR="003A01E8">
        <w:rPr>
          <w:rFonts w:ascii="Myriad Pro" w:hAnsi="Myriad Pro"/>
          <w:sz w:val="22"/>
          <w:szCs w:val="22"/>
          <w:lang w:val="en-GB"/>
        </w:rPr>
        <w:t xml:space="preserve"> </w:t>
      </w:r>
      <w:r w:rsidR="00D07749">
        <w:rPr>
          <w:rFonts w:ascii="Myriad Pro" w:hAnsi="Myriad Pro"/>
          <w:sz w:val="22"/>
          <w:szCs w:val="22"/>
          <w:lang w:val="en-GB"/>
        </w:rPr>
        <w:t>which has a computational speed advantage over the method stated in Gr</w:t>
      </w:r>
      <w:r w:rsidR="00120C86">
        <w:rPr>
          <w:rFonts w:ascii="Myriad Pro" w:hAnsi="Myriad Pro"/>
          <w:sz w:val="22"/>
          <w:szCs w:val="22"/>
          <w:lang w:val="en-GB"/>
        </w:rPr>
        <w:t>a</w:t>
      </w:r>
      <w:r w:rsidR="00D07749">
        <w:rPr>
          <w:rFonts w:ascii="Myriad Pro" w:hAnsi="Myriad Pro"/>
          <w:sz w:val="22"/>
          <w:szCs w:val="22"/>
          <w:lang w:val="en-GB"/>
        </w:rPr>
        <w:t xml:space="preserve">y et al., (2019) as it eliminates the need to compare the distance of all possible arrangements of data points. Within each grid cell we estimate the temporal height change by comparing every height point in one time period against every other point in the later time periods. With this the mean of height changes for each cell and time difference are available. </w:t>
      </w:r>
      <w:r w:rsidR="006821B2">
        <w:rPr>
          <w:rFonts w:ascii="Myriad Pro" w:hAnsi="Myriad Pro"/>
          <w:sz w:val="22"/>
          <w:szCs w:val="22"/>
          <w:lang w:val="en-GB"/>
        </w:rPr>
        <w:t xml:space="preserve">For each possible arrangement of time periods we remove outliers iteratively through omitting cells with an average height change greater than three standard deviations away from the average of all the cells until no further outliers are detected. Our final elevation difference between two pairwise unique time periods (e.g period 1 and period 5) is calculated by taking </w:t>
      </w:r>
      <w:r w:rsidR="00266C57">
        <w:rPr>
          <w:rFonts w:ascii="Myriad Pro" w:hAnsi="Myriad Pro"/>
          <w:sz w:val="22"/>
          <w:szCs w:val="22"/>
          <w:lang w:val="en-GB"/>
        </w:rPr>
        <w:t>the mean of elevation differences in each cell. We also collect the standard deviations for future statistical analysis. Additional time series are created using the multi-period approach outlined in Gr</w:t>
      </w:r>
      <w:r w:rsidR="00120C86">
        <w:rPr>
          <w:rFonts w:ascii="Myriad Pro" w:hAnsi="Myriad Pro"/>
          <w:sz w:val="22"/>
          <w:szCs w:val="22"/>
          <w:lang w:val="en-GB"/>
        </w:rPr>
        <w:t>a</w:t>
      </w:r>
      <w:r w:rsidR="00266C57">
        <w:rPr>
          <w:rFonts w:ascii="Myriad Pro" w:hAnsi="Myriad Pro"/>
          <w:sz w:val="22"/>
          <w:szCs w:val="22"/>
          <w:lang w:val="en-GB"/>
        </w:rPr>
        <w:t xml:space="preserve">y </w:t>
      </w:r>
      <w:r w:rsidR="00266C57" w:rsidRPr="00266C57">
        <w:rPr>
          <w:rFonts w:ascii="Myriad Pro" w:hAnsi="Myriad Pro"/>
          <w:i/>
          <w:iCs/>
          <w:sz w:val="22"/>
          <w:szCs w:val="22"/>
          <w:lang w:val="en-GB"/>
        </w:rPr>
        <w:t>et al.,</w:t>
      </w:r>
      <w:r w:rsidR="00266C57">
        <w:rPr>
          <w:rFonts w:ascii="Myriad Pro" w:hAnsi="Myriad Pro"/>
          <w:sz w:val="22"/>
          <w:szCs w:val="22"/>
          <w:lang w:val="en-GB"/>
        </w:rPr>
        <w:t xml:space="preserve"> (2019). </w:t>
      </w:r>
      <w:bookmarkStart w:id="1" w:name="_Hlk52187451"/>
      <w:r w:rsidR="00266C57">
        <w:rPr>
          <w:rFonts w:ascii="Myriad Pro" w:hAnsi="Myriad Pro"/>
          <w:sz w:val="22"/>
          <w:szCs w:val="22"/>
          <w:lang w:val="en-GB"/>
        </w:rPr>
        <w:t>When comparing the average height change from one time period (</w:t>
      </w:r>
      <w:r w:rsidR="006734DB">
        <w:rPr>
          <w:rFonts w:ascii="Myriad Pro" w:hAnsi="Myriad Pro"/>
          <w:sz w:val="22"/>
          <w:szCs w:val="22"/>
          <w:lang w:val="en-GB"/>
        </w:rPr>
        <w:t>A</w:t>
      </w:r>
      <w:r w:rsidR="00266C57">
        <w:rPr>
          <w:rFonts w:ascii="Myriad Pro" w:hAnsi="Myriad Pro"/>
          <w:sz w:val="22"/>
          <w:szCs w:val="22"/>
          <w:lang w:val="en-GB"/>
        </w:rPr>
        <w:t>) to any two other periods (</w:t>
      </w:r>
      <w:r w:rsidR="006734DB">
        <w:rPr>
          <w:rFonts w:ascii="Myriad Pro" w:hAnsi="Myriad Pro"/>
          <w:sz w:val="22"/>
          <w:szCs w:val="22"/>
          <w:lang w:val="en-GB"/>
        </w:rPr>
        <w:t>B</w:t>
      </w:r>
      <w:r w:rsidR="00266C57">
        <w:rPr>
          <w:rFonts w:ascii="Myriad Pro" w:hAnsi="Myriad Pro"/>
          <w:sz w:val="22"/>
          <w:szCs w:val="22"/>
          <w:lang w:val="en-GB"/>
        </w:rPr>
        <w:t xml:space="preserve"> and </w:t>
      </w:r>
      <w:r w:rsidR="006734DB">
        <w:rPr>
          <w:rFonts w:ascii="Myriad Pro" w:hAnsi="Myriad Pro"/>
          <w:sz w:val="22"/>
          <w:szCs w:val="22"/>
          <w:lang w:val="en-GB"/>
        </w:rPr>
        <w:t>C</w:t>
      </w:r>
      <w:r w:rsidR="00266C57">
        <w:rPr>
          <w:rFonts w:ascii="Myriad Pro" w:hAnsi="Myriad Pro"/>
          <w:sz w:val="22"/>
          <w:szCs w:val="22"/>
          <w:lang w:val="en-GB"/>
        </w:rPr>
        <w:t xml:space="preserve">) different points will be used in the creation of the </w:t>
      </w:r>
      <w:r w:rsidR="006734DB">
        <w:rPr>
          <w:rFonts w:ascii="Myriad Pro" w:hAnsi="Myriad Pro"/>
          <w:sz w:val="22"/>
          <w:szCs w:val="22"/>
          <w:lang w:val="en-GB"/>
        </w:rPr>
        <w:t>A</w:t>
      </w:r>
      <w:r w:rsidR="00266C57">
        <w:rPr>
          <w:rFonts w:ascii="Myriad Pro" w:hAnsi="Myriad Pro"/>
          <w:sz w:val="22"/>
          <w:szCs w:val="22"/>
          <w:lang w:val="en-GB"/>
        </w:rPr>
        <w:t xml:space="preserve"> – </w:t>
      </w:r>
      <w:r w:rsidR="006734DB">
        <w:rPr>
          <w:rFonts w:ascii="Myriad Pro" w:hAnsi="Myriad Pro"/>
          <w:sz w:val="22"/>
          <w:szCs w:val="22"/>
          <w:lang w:val="en-GB"/>
        </w:rPr>
        <w:t>B</w:t>
      </w:r>
      <w:r w:rsidR="00266C57">
        <w:rPr>
          <w:rFonts w:ascii="Myriad Pro" w:hAnsi="Myriad Pro"/>
          <w:sz w:val="22"/>
          <w:szCs w:val="22"/>
          <w:lang w:val="en-GB"/>
        </w:rPr>
        <w:t xml:space="preserve"> and </w:t>
      </w:r>
      <w:r w:rsidR="006734DB">
        <w:rPr>
          <w:rFonts w:ascii="Myriad Pro" w:hAnsi="Myriad Pro"/>
          <w:sz w:val="22"/>
          <w:szCs w:val="22"/>
          <w:lang w:val="en-GB"/>
        </w:rPr>
        <w:t>A</w:t>
      </w:r>
      <w:r w:rsidR="00266C57">
        <w:rPr>
          <w:rFonts w:ascii="Myriad Pro" w:hAnsi="Myriad Pro"/>
          <w:sz w:val="22"/>
          <w:szCs w:val="22"/>
          <w:lang w:val="en-GB"/>
        </w:rPr>
        <w:t xml:space="preserve"> – </w:t>
      </w:r>
      <w:r w:rsidR="006734DB">
        <w:rPr>
          <w:rFonts w:ascii="Myriad Pro" w:hAnsi="Myriad Pro"/>
          <w:sz w:val="22"/>
          <w:szCs w:val="22"/>
          <w:lang w:val="en-GB"/>
        </w:rPr>
        <w:t>C</w:t>
      </w:r>
      <w:r w:rsidR="00266C57">
        <w:rPr>
          <w:rFonts w:ascii="Myriad Pro" w:hAnsi="Myriad Pro"/>
          <w:sz w:val="22"/>
          <w:szCs w:val="22"/>
          <w:lang w:val="en-GB"/>
        </w:rPr>
        <w:t xml:space="preserve"> height change. For </w:t>
      </w:r>
      <w:r w:rsidR="0041195D">
        <w:rPr>
          <w:rFonts w:ascii="Myriad Pro" w:hAnsi="Myriad Pro"/>
          <w:sz w:val="22"/>
          <w:szCs w:val="22"/>
          <w:lang w:val="en-GB"/>
        </w:rPr>
        <w:t>example,</w:t>
      </w:r>
      <w:r w:rsidR="00266C57">
        <w:rPr>
          <w:rFonts w:ascii="Myriad Pro" w:hAnsi="Myriad Pro"/>
          <w:sz w:val="22"/>
          <w:szCs w:val="22"/>
          <w:lang w:val="en-GB"/>
        </w:rPr>
        <w:t xml:space="preserve"> the height difference </w:t>
      </w:r>
      <w:r w:rsidR="006734DB">
        <w:rPr>
          <w:rFonts w:ascii="Myriad Pro" w:hAnsi="Myriad Pro"/>
          <w:sz w:val="22"/>
          <w:szCs w:val="22"/>
          <w:lang w:val="en-GB"/>
        </w:rPr>
        <w:t>A – B</w:t>
      </w:r>
      <w:r w:rsidR="00266C57">
        <w:rPr>
          <w:rFonts w:ascii="Myriad Pro" w:hAnsi="Myriad Pro"/>
          <w:sz w:val="22"/>
          <w:szCs w:val="22"/>
          <w:lang w:val="en-GB"/>
        </w:rPr>
        <w:t xml:space="preserve"> can be calculated as </w:t>
      </w:r>
      <w:r w:rsidR="006734DB">
        <w:rPr>
          <w:rFonts w:ascii="Myriad Pro" w:hAnsi="Myriad Pro"/>
          <w:sz w:val="22"/>
          <w:szCs w:val="22"/>
          <w:lang w:val="en-GB"/>
        </w:rPr>
        <w:t>the height difference from A – C minus the height difference from B – C, assuming B and C are consecutive</w:t>
      </w:r>
      <w:r w:rsidR="00266C57">
        <w:rPr>
          <w:rFonts w:ascii="Myriad Pro" w:hAnsi="Myriad Pro"/>
          <w:sz w:val="22"/>
          <w:szCs w:val="22"/>
          <w:lang w:val="en-GB"/>
        </w:rPr>
        <w:t xml:space="preserve">. </w:t>
      </w:r>
      <w:bookmarkEnd w:id="1"/>
      <w:r w:rsidR="0041195D">
        <w:rPr>
          <w:rFonts w:ascii="Myriad Pro" w:hAnsi="Myriad Pro"/>
          <w:sz w:val="22"/>
          <w:szCs w:val="22"/>
          <w:lang w:val="en-GB"/>
        </w:rPr>
        <w:t xml:space="preserve">This is repeated for all possible arrangements of time periods. If there are N 45-day time periods, then there are N-1 estimates of height change from the first period to any other subsequent period. One of these estimates is the direct calculation between the two periods, the other N-2 are calculated indirectly using </w:t>
      </w:r>
      <w:r w:rsidR="00B34C87">
        <w:rPr>
          <w:rFonts w:ascii="Myriad Pro" w:hAnsi="Myriad Pro"/>
          <w:sz w:val="22"/>
          <w:szCs w:val="22"/>
          <w:lang w:val="en-GB"/>
        </w:rPr>
        <w:t xml:space="preserve">the </w:t>
      </w:r>
      <w:r w:rsidR="0041195D">
        <w:rPr>
          <w:rFonts w:ascii="Myriad Pro" w:hAnsi="Myriad Pro"/>
          <w:sz w:val="22"/>
          <w:szCs w:val="22"/>
          <w:lang w:val="en-GB"/>
        </w:rPr>
        <w:t xml:space="preserve">other time periods. This approach allows us to check for statistical error and consistency. When calculating the final time series, we take the weighted average of all possible time series. The direct estimate is given a weight of 1, whilst indirect estimates are given a weight of </w:t>
      </w:r>
      <m:oMath>
        <m:f>
          <m:fPr>
            <m:type m:val="skw"/>
            <m:ctrlPr>
              <w:rPr>
                <w:rFonts w:ascii="Cambria Math" w:hAnsi="Cambria Math"/>
                <w:i/>
                <w:sz w:val="22"/>
                <w:szCs w:val="22"/>
                <w:lang w:val="en-GB"/>
              </w:rPr>
            </m:ctrlPr>
          </m:fPr>
          <m:num>
            <m:r>
              <m:rPr>
                <m:sty m:val="bi"/>
              </m:rPr>
              <w:rPr>
                <w:rFonts w:ascii="Cambria Math" w:hAnsi="Cambria Math"/>
                <w:sz w:val="22"/>
                <w:szCs w:val="22"/>
                <w:lang w:val="en-GB"/>
              </w:rPr>
              <m:t>1</m:t>
            </m:r>
          </m:num>
          <m:den>
            <m:rad>
              <m:radPr>
                <m:degHide m:val="1"/>
                <m:ctrlPr>
                  <w:rPr>
                    <w:rFonts w:ascii="Cambria Math" w:hAnsi="Cambria Math"/>
                    <w:i/>
                    <w:sz w:val="22"/>
                    <w:szCs w:val="22"/>
                    <w:lang w:val="en-GB"/>
                  </w:rPr>
                </m:ctrlPr>
              </m:radPr>
              <m:deg/>
              <m:e>
                <m:r>
                  <m:rPr>
                    <m:sty m:val="bi"/>
                  </m:rPr>
                  <w:rPr>
                    <w:rFonts w:ascii="Cambria Math" w:hAnsi="Cambria Math"/>
                    <w:sz w:val="22"/>
                    <w:szCs w:val="22"/>
                    <w:lang w:val="en-GB"/>
                  </w:rPr>
                  <m:t>2</m:t>
                </m:r>
              </m:e>
            </m:rad>
          </m:den>
        </m:f>
      </m:oMath>
      <w:r w:rsidR="0041195D">
        <w:rPr>
          <w:rFonts w:ascii="Myriad Pro" w:hAnsi="Myriad Pro"/>
          <w:sz w:val="22"/>
          <w:szCs w:val="22"/>
          <w:lang w:val="en-GB"/>
        </w:rPr>
        <w:t xml:space="preserve"> . The statistical error for any time-dependent elevation in our final timeseries is determined by taking the mean of the standard deviations and dividing by the square root of the number of samples. We convert our elevation change time series to volume change time series by integrating </w:t>
      </w:r>
      <w:r w:rsidR="005827EB">
        <w:rPr>
          <w:rFonts w:ascii="Myriad Pro" w:hAnsi="Myriad Pro"/>
          <w:sz w:val="22"/>
          <w:szCs w:val="22"/>
          <w:lang w:val="en-GB"/>
        </w:rPr>
        <w:t xml:space="preserve">our temporal change against the total area of our lake masks. The statistical error from our timeseries is carried over into the volume change estimates, giving us </w:t>
      </w:r>
      <w:r w:rsidR="00E67F5C">
        <w:rPr>
          <w:rFonts w:ascii="Myriad Pro" w:hAnsi="Myriad Pro"/>
          <w:sz w:val="22"/>
          <w:szCs w:val="22"/>
          <w:lang w:val="en-GB"/>
        </w:rPr>
        <w:t>a</w:t>
      </w:r>
      <w:r w:rsidR="005827EB">
        <w:rPr>
          <w:rFonts w:ascii="Myriad Pro" w:hAnsi="Myriad Pro"/>
          <w:sz w:val="22"/>
          <w:szCs w:val="22"/>
          <w:lang w:val="en-GB"/>
        </w:rPr>
        <w:t xml:space="preserve"> statistical bound on volume change based upon the elevation change observed at each lake.</w:t>
      </w:r>
      <w:bookmarkEnd w:id="0"/>
    </w:p>
    <w:p w14:paraId="2E3BD2D4" w14:textId="6A04723D" w:rsidR="009D1A62" w:rsidRPr="00B010B6" w:rsidRDefault="005775A5" w:rsidP="009D1A62">
      <w:pPr>
        <w:pStyle w:val="Heading-Main"/>
        <w:rPr>
          <w:rFonts w:ascii="Myriad Pro" w:hAnsi="Myriad Pro"/>
          <w:b w:val="0"/>
          <w:bCs w:val="0"/>
          <w:kern w:val="0"/>
          <w:sz w:val="22"/>
          <w:szCs w:val="22"/>
          <w:lang w:val="en-GB"/>
        </w:rPr>
      </w:pPr>
      <w:r w:rsidRPr="00B010B6">
        <w:rPr>
          <w:rFonts w:ascii="Myriad Pro" w:hAnsi="Myriad Pro"/>
          <w:kern w:val="0"/>
          <w:lang w:val="en-GB"/>
        </w:rPr>
        <w:t xml:space="preserve">Text S2. </w:t>
      </w:r>
      <w:r w:rsidR="009D1A62" w:rsidRPr="00B010B6">
        <w:rPr>
          <w:rFonts w:ascii="Myriad Pro" w:hAnsi="Myriad Pro"/>
          <w:kern w:val="0"/>
          <w:lang w:val="en-GB"/>
        </w:rPr>
        <w:t>Synopsis of altimetry</w:t>
      </w:r>
      <w:r w:rsidR="009D1A62" w:rsidRPr="00B010B6">
        <w:rPr>
          <w:rFonts w:ascii="Myriad Pro" w:hAnsi="Myriad Pro"/>
          <w:b w:val="0"/>
          <w:bCs w:val="0"/>
          <w:kern w:val="0"/>
          <w:lang w:val="en-GB"/>
        </w:rPr>
        <w:t xml:space="preserve"> </w:t>
      </w:r>
      <w:r w:rsidR="009D1A62" w:rsidRPr="00B010B6">
        <w:rPr>
          <w:rFonts w:ascii="Myriad Pro" w:hAnsi="Myriad Pro"/>
          <w:kern w:val="0"/>
          <w:lang w:val="en-GB"/>
        </w:rPr>
        <w:t>techniques</w:t>
      </w:r>
      <w:r w:rsidR="009D1A62" w:rsidRPr="00B010B6">
        <w:rPr>
          <w:rFonts w:ascii="Myriad Pro" w:hAnsi="Myriad Pro"/>
          <w:b w:val="0"/>
          <w:bCs w:val="0"/>
          <w:kern w:val="0"/>
          <w:lang w:val="en-GB"/>
        </w:rPr>
        <w:t xml:space="preserve"> </w:t>
      </w:r>
      <w:r w:rsidR="009D1A62" w:rsidRPr="00B010B6">
        <w:rPr>
          <w:rFonts w:ascii="Myriad Pro" w:hAnsi="Myriad Pro"/>
          <w:b w:val="0"/>
          <w:bCs w:val="0"/>
          <w:kern w:val="0"/>
          <w:sz w:val="22"/>
          <w:szCs w:val="22"/>
          <w:lang w:val="en-GB"/>
        </w:rPr>
        <w:t xml:space="preserve"> </w:t>
      </w:r>
    </w:p>
    <w:p w14:paraId="64CC7430" w14:textId="384325D3" w:rsidR="00D856A0" w:rsidRPr="009D1A62" w:rsidRDefault="009D1A62" w:rsidP="00B010B6">
      <w:pPr>
        <w:pStyle w:val="Heading-Main"/>
        <w:rPr>
          <w:rFonts w:ascii="Myriad Pro" w:hAnsi="Myriad Pro"/>
          <w:sz w:val="22"/>
          <w:szCs w:val="22"/>
          <w:lang w:val="en-GB"/>
        </w:rPr>
      </w:pPr>
      <w:bookmarkStart w:id="2" w:name="_Hlk49159861"/>
      <w:bookmarkStart w:id="3" w:name="_Hlk49338919"/>
      <w:r w:rsidRPr="00B010B6">
        <w:rPr>
          <w:rFonts w:ascii="Myriad Pro" w:hAnsi="Myriad Pro"/>
          <w:b w:val="0"/>
          <w:bCs w:val="0"/>
          <w:kern w:val="0"/>
          <w:sz w:val="22"/>
          <w:szCs w:val="22"/>
          <w:lang w:val="en-GB"/>
        </w:rPr>
        <w:t xml:space="preserve">Our timeseries approach is broadly different to the method used in Smith et al., (2017), yet captures similar volume changes for 2013 activity. However, our drainage timings seem inconsistent with Smith, particularly at Thw124 which was thought to have deflated in January 2013. Smith determines elevation change by fitting a Digital Elevation Model (DEM) to swath processed elevations at three monthly intervals, although the smoothing-constraints of this approach tends to blur the timings of very large elevation changes. Therefore, the DEM approach would struggle to resolve the exact timings of Thw124 activity due to the extreme elevation changes of 2013. Hence, we attribute our timing disagreement to this phenomenon. At the other lakes, the timings stated by </w:t>
      </w:r>
      <w:r w:rsidRPr="00B010B6">
        <w:rPr>
          <w:rFonts w:ascii="Myriad Pro" w:hAnsi="Myriad Pro"/>
          <w:b w:val="0"/>
          <w:bCs w:val="0"/>
          <w:kern w:val="0"/>
          <w:sz w:val="22"/>
          <w:szCs w:val="22"/>
          <w:lang w:val="en-GB"/>
        </w:rPr>
        <w:lastRenderedPageBreak/>
        <w:t>Smith fall within the 90-day search interval of our temporal sampling approach, which signifies a consistent order of drainage. Therefore, we can reimagine 2013 activity as a cascading drainage system where Thw170 activated first and triggers the downstream lake, therefore harmonizing the system with observations from other subglacial systems (Fricker et al., 2007, Fricker et al., 2014, Flament et al., 2014). The recursive approach, used in this study, seems more appropriate than the DEM approach due to the lack of temporal smoothing-constraints, the greater temporal resolution and the ability to produce multiple timeseries to determine the statistical error on elevation change. However, since this approach compares changes in all possible arrangements of time periods, it fails when the temporal resolution of data is inconsistent.</w:t>
      </w:r>
      <w:bookmarkEnd w:id="2"/>
    </w:p>
    <w:bookmarkEnd w:id="3"/>
    <w:p w14:paraId="1B3EB8A1" w14:textId="037C4E1E" w:rsidR="0041195D" w:rsidRPr="00AD7DCA" w:rsidRDefault="00AD7DCA" w:rsidP="00AF35A4">
      <w:pPr>
        <w:spacing w:before="100" w:beforeAutospacing="1" w:after="100" w:afterAutospacing="1"/>
        <w:rPr>
          <w:rFonts w:ascii="Myriad Pro" w:hAnsi="Myriad Pro"/>
          <w:b/>
          <w:bCs/>
          <w:szCs w:val="24"/>
          <w:lang w:val="en-GB"/>
        </w:rPr>
      </w:pPr>
      <w:r w:rsidRPr="00AD7DCA">
        <w:rPr>
          <w:rFonts w:ascii="Myriad Pro" w:hAnsi="Myriad Pro"/>
          <w:b/>
          <w:bCs/>
          <w:szCs w:val="24"/>
          <w:lang w:val="en-GB"/>
        </w:rPr>
        <w:t>Text S</w:t>
      </w:r>
      <w:r w:rsidR="005775A5">
        <w:rPr>
          <w:rFonts w:ascii="Myriad Pro" w:hAnsi="Myriad Pro"/>
          <w:b/>
          <w:bCs/>
          <w:szCs w:val="24"/>
          <w:lang w:val="en-GB"/>
        </w:rPr>
        <w:t>3</w:t>
      </w:r>
      <w:r w:rsidRPr="00AD7DCA">
        <w:rPr>
          <w:rFonts w:ascii="Myriad Pro" w:hAnsi="Myriad Pro"/>
          <w:b/>
          <w:bCs/>
          <w:szCs w:val="24"/>
          <w:lang w:val="en-GB"/>
        </w:rPr>
        <w:t xml:space="preserve">. Calculation of hydraulic potential </w:t>
      </w:r>
    </w:p>
    <w:p w14:paraId="7776A81E" w14:textId="77777777" w:rsidR="00AD7DCA" w:rsidRDefault="00AD7DCA" w:rsidP="00AF35A4">
      <w:pPr>
        <w:spacing w:before="100" w:beforeAutospacing="1" w:after="100" w:afterAutospacing="1"/>
        <w:rPr>
          <w:rFonts w:ascii="Myriad Pro" w:hAnsi="Myriad Pro"/>
          <w:sz w:val="22"/>
          <w:szCs w:val="22"/>
          <w:lang w:val="en-GB"/>
        </w:rPr>
      </w:pPr>
      <w:r>
        <w:rPr>
          <w:rFonts w:ascii="Myriad Pro" w:hAnsi="Myriad Pro"/>
          <w:sz w:val="22"/>
          <w:szCs w:val="22"/>
          <w:lang w:val="en-GB"/>
        </w:rPr>
        <w:t>We assume that basal water pressure is equal to the ice overburden pressure and calculate the glaciological hydraulic pressure as:</w:t>
      </w:r>
    </w:p>
    <w:p w14:paraId="466C5F16" w14:textId="3BC8EB39" w:rsidR="00AD7DCA" w:rsidRDefault="00AD7DCA" w:rsidP="00AD7DCA">
      <w:pPr>
        <w:spacing w:before="100" w:beforeAutospacing="1" w:after="100" w:afterAutospacing="1"/>
        <w:jc w:val="center"/>
        <w:rPr>
          <w:rFonts w:ascii="Myriad Pro" w:hAnsi="Myriad Pro"/>
          <w:sz w:val="22"/>
          <w:szCs w:val="22"/>
          <w:lang w:val="en-GB"/>
        </w:rPr>
      </w:pPr>
      <w:bookmarkStart w:id="4" w:name="_Hlk36732281"/>
      <w:bookmarkStart w:id="5" w:name="_Hlk47694293"/>
      <m:oMath>
        <m:r>
          <w:rPr>
            <w:rFonts w:ascii="Cambria Math" w:hAnsi="Cambria Math"/>
          </w:rPr>
          <m:t>φ</m:t>
        </m:r>
        <w:bookmarkEnd w:id="4"/>
        <m:r>
          <w:rPr>
            <w:rFonts w:ascii="Cambria Math" w:hAnsi="Cambria Math"/>
          </w:rPr>
          <m:t xml:space="preserve">= </m:t>
        </m:r>
        <m:f>
          <m:fPr>
            <m:ctrlPr>
              <w:rPr>
                <w:rFonts w:ascii="Cambria Math" w:hAnsi="Cambria Math"/>
                <w:b/>
                <w:i/>
              </w:rPr>
            </m:ctrlPr>
          </m:fPr>
          <m:num>
            <w:bookmarkStart w:id="6" w:name="_Hlk36732109"/>
            <m:sSub>
              <m:sSubPr>
                <m:ctrlPr>
                  <w:rPr>
                    <w:rFonts w:ascii="Cambria Math" w:hAnsi="Cambria Math"/>
                    <w:b/>
                    <w:i/>
                  </w:rPr>
                </m:ctrlPr>
              </m:sSubPr>
              <m:e>
                <m:r>
                  <w:rPr>
                    <w:rFonts w:ascii="Cambria Math" w:hAnsi="Cambria Math"/>
                  </w:rPr>
                  <m:t>ρ</m:t>
                </m:r>
              </m:e>
              <m:sub>
                <m:r>
                  <w:rPr>
                    <w:rFonts w:ascii="Cambria Math" w:hAnsi="Cambria Math"/>
                  </w:rPr>
                  <m:t>i</m:t>
                </m:r>
              </m:sub>
            </m:sSub>
            <w:bookmarkEnd w:id="6"/>
          </m:num>
          <m:den>
            <w:bookmarkStart w:id="7" w:name="_Hlk36732136"/>
            <m:sSub>
              <m:sSubPr>
                <m:ctrlPr>
                  <w:rPr>
                    <w:rFonts w:ascii="Cambria Math" w:hAnsi="Cambria Math"/>
                    <w:b/>
                    <w:i/>
                  </w:rPr>
                </m:ctrlPr>
              </m:sSubPr>
              <m:e>
                <m:r>
                  <w:rPr>
                    <w:rFonts w:ascii="Cambria Math" w:hAnsi="Cambria Math"/>
                  </w:rPr>
                  <m:t>ρ</m:t>
                </m:r>
              </m:e>
              <m:sub>
                <m:r>
                  <w:rPr>
                    <w:rFonts w:ascii="Cambria Math" w:hAnsi="Cambria Math"/>
                  </w:rPr>
                  <m:t>w</m:t>
                </m:r>
              </m:sub>
            </m:sSub>
            <w:bookmarkEnd w:id="7"/>
          </m:den>
        </m:f>
        <w:bookmarkStart w:id="8" w:name="_Hlk36732195"/>
        <m:sSub>
          <m:sSubPr>
            <m:ctrlPr>
              <w:rPr>
                <w:rFonts w:ascii="Cambria Math" w:hAnsi="Cambria Math"/>
                <w:b/>
                <w:i/>
              </w:rPr>
            </m:ctrlPr>
          </m:sSubPr>
          <m:e>
            <m:r>
              <w:rPr>
                <w:rFonts w:ascii="Cambria Math" w:hAnsi="Cambria Math"/>
              </w:rPr>
              <m:t>z</m:t>
            </m:r>
          </m:e>
          <m:sub>
            <m:r>
              <w:rPr>
                <w:rFonts w:ascii="Cambria Math" w:hAnsi="Cambria Math"/>
              </w:rPr>
              <m:t>s</m:t>
            </m:r>
          </m:sub>
        </m:sSub>
        <w:bookmarkEnd w:id="8"/>
        <m:r>
          <w:rPr>
            <w:rFonts w:ascii="Cambria Math" w:hAnsi="Cambria Math"/>
          </w:rPr>
          <m:t xml:space="preserve">+ </m:t>
        </m:r>
        <m:f>
          <m:fPr>
            <m:ctrlPr>
              <w:rPr>
                <w:rFonts w:ascii="Cambria Math" w:hAnsi="Cambria Math"/>
                <w:b/>
                <w:i/>
              </w:rPr>
            </m:ctrlPr>
          </m:fPr>
          <m:num>
            <m:r>
              <w:rPr>
                <w:rFonts w:ascii="Cambria Math" w:hAnsi="Cambria Math"/>
              </w:rPr>
              <m:t>(</m:t>
            </m:r>
            <m:sSub>
              <m:sSubPr>
                <m:ctrlPr>
                  <w:rPr>
                    <w:rFonts w:ascii="Cambria Math" w:hAnsi="Cambria Math"/>
                    <w:b/>
                    <w:i/>
                  </w:rPr>
                </m:ctrlPr>
              </m:sSubPr>
              <m:e>
                <m:r>
                  <w:rPr>
                    <w:rFonts w:ascii="Cambria Math" w:hAnsi="Cambria Math"/>
                  </w:rPr>
                  <m:t>ρ</m:t>
                </m:r>
              </m:e>
              <m:sub>
                <m:r>
                  <w:rPr>
                    <w:rFonts w:ascii="Cambria Math" w:hAnsi="Cambria Math"/>
                  </w:rPr>
                  <m:t>w</m:t>
                </m:r>
              </m:sub>
            </m:sSub>
            <m:r>
              <w:rPr>
                <w:rFonts w:ascii="Cambria Math" w:hAnsi="Cambria Math"/>
              </w:rPr>
              <m:t xml:space="preserve">- </m:t>
            </m:r>
            <m:sSub>
              <m:sSubPr>
                <m:ctrlPr>
                  <w:rPr>
                    <w:rFonts w:ascii="Cambria Math" w:hAnsi="Cambria Math"/>
                    <w:b/>
                    <w:i/>
                  </w:rPr>
                </m:ctrlPr>
              </m:sSubPr>
              <m:e>
                <m:r>
                  <w:rPr>
                    <w:rFonts w:ascii="Cambria Math" w:hAnsi="Cambria Math"/>
                  </w:rPr>
                  <m:t>ρ</m:t>
                </m:r>
              </m:e>
              <m:sub>
                <m:r>
                  <w:rPr>
                    <w:rFonts w:ascii="Cambria Math" w:hAnsi="Cambria Math"/>
                  </w:rPr>
                  <m:t>i</m:t>
                </m:r>
              </m:sub>
            </m:sSub>
            <m:r>
              <w:rPr>
                <w:rFonts w:ascii="Cambria Math" w:hAnsi="Cambria Math"/>
              </w:rPr>
              <m:t>)</m:t>
            </m:r>
          </m:num>
          <m:den>
            <m:sSub>
              <m:sSubPr>
                <m:ctrlPr>
                  <w:rPr>
                    <w:rFonts w:ascii="Cambria Math" w:hAnsi="Cambria Math"/>
                    <w:b/>
                    <w:i/>
                  </w:rPr>
                </m:ctrlPr>
              </m:sSubPr>
              <m:e>
                <m:r>
                  <w:rPr>
                    <w:rFonts w:ascii="Cambria Math" w:hAnsi="Cambria Math"/>
                  </w:rPr>
                  <m:t>ρ</m:t>
                </m:r>
              </m:e>
              <m:sub>
                <m:r>
                  <w:rPr>
                    <w:rFonts w:ascii="Cambria Math" w:hAnsi="Cambria Math"/>
                  </w:rPr>
                  <m:t>w</m:t>
                </m:r>
              </m:sub>
            </m:sSub>
          </m:den>
        </m:f>
        <w:bookmarkStart w:id="9" w:name="_Hlk36732228"/>
        <m:sSub>
          <m:sSubPr>
            <m:ctrlPr>
              <w:rPr>
                <w:rFonts w:ascii="Cambria Math" w:hAnsi="Cambria Math"/>
                <w:b/>
                <w:i/>
              </w:rPr>
            </m:ctrlPr>
          </m:sSubPr>
          <m:e>
            <m:r>
              <w:rPr>
                <w:rFonts w:ascii="Cambria Math" w:hAnsi="Cambria Math"/>
              </w:rPr>
              <m:t>z</m:t>
            </m:r>
          </m:e>
          <m:sub>
            <m:r>
              <w:rPr>
                <w:rFonts w:ascii="Cambria Math" w:hAnsi="Cambria Math"/>
              </w:rPr>
              <m:t>b</m:t>
            </m:r>
          </m:sub>
        </m:sSub>
      </m:oMath>
      <w:bookmarkEnd w:id="9"/>
      <w:r>
        <w:rPr>
          <w:b/>
        </w:rPr>
        <w:t>.</w:t>
      </w:r>
      <w:r>
        <w:rPr>
          <w:b/>
        </w:rPr>
        <w:tab/>
      </w:r>
      <w:r>
        <w:rPr>
          <w:b/>
        </w:rPr>
        <w:tab/>
      </w:r>
      <w:r>
        <w:rPr>
          <w:b/>
        </w:rPr>
        <w:tab/>
      </w:r>
      <w:r>
        <w:rPr>
          <w:b/>
        </w:rPr>
        <w:tab/>
      </w:r>
      <w:r>
        <w:rPr>
          <w:b/>
        </w:rPr>
        <w:tab/>
        <w:t>(1)</w:t>
      </w:r>
      <w:bookmarkEnd w:id="5"/>
    </w:p>
    <w:p w14:paraId="694A3155" w14:textId="165522FA" w:rsidR="00AD7DCA" w:rsidRPr="00A551A2" w:rsidRDefault="00AD7DCA" w:rsidP="00AF35A4">
      <w:pPr>
        <w:spacing w:before="100" w:beforeAutospacing="1" w:after="100" w:afterAutospacing="1"/>
        <w:rPr>
          <w:rFonts w:ascii="Myriad Pro" w:hAnsi="Myriad Pro"/>
          <w:bCs/>
          <w:sz w:val="22"/>
          <w:szCs w:val="22"/>
          <w:lang w:val="en-GB"/>
        </w:rPr>
      </w:pPr>
      <w:r w:rsidRPr="00A551A2">
        <w:rPr>
          <w:rFonts w:ascii="Myriad Pro" w:hAnsi="Myriad Pro"/>
          <w:bCs/>
          <w:sz w:val="22"/>
          <w:szCs w:val="22"/>
        </w:rPr>
        <w:t xml:space="preserve">Here </w:t>
      </w:r>
      <m:oMath>
        <m:r>
          <m:rPr>
            <m:sty m:val="bi"/>
          </m:rPr>
          <w:rPr>
            <w:rFonts w:ascii="Cambria Math" w:hAnsi="Cambria Math"/>
            <w:sz w:val="22"/>
            <w:szCs w:val="22"/>
          </w:rPr>
          <m:t>φ</m:t>
        </m:r>
      </m:oMath>
      <w:r w:rsidRPr="00A551A2">
        <w:rPr>
          <w:rFonts w:ascii="Myriad Pro" w:hAnsi="Myriad Pro"/>
          <w:bCs/>
          <w:sz w:val="22"/>
          <w:szCs w:val="22"/>
        </w:rPr>
        <w:t xml:space="preserve"> is the hydraulic potential in units of height (m), </w:t>
      </w:r>
      <m:oMath>
        <m:sSub>
          <m:sSubPr>
            <m:ctrlPr>
              <w:rPr>
                <w:rFonts w:ascii="Cambria Math" w:hAnsi="Cambria Math"/>
                <w:b/>
                <w:i/>
                <w:sz w:val="22"/>
                <w:szCs w:val="22"/>
              </w:rPr>
            </m:ctrlPr>
          </m:sSubPr>
          <m:e>
            <m:r>
              <m:rPr>
                <m:sty m:val="bi"/>
              </m:rPr>
              <w:rPr>
                <w:rFonts w:ascii="Cambria Math" w:hAnsi="Cambria Math"/>
                <w:sz w:val="22"/>
                <w:szCs w:val="22"/>
              </w:rPr>
              <m:t>ρ</m:t>
            </m:r>
          </m:e>
          <m:sub>
            <m:r>
              <m:rPr>
                <m:sty m:val="bi"/>
              </m:rPr>
              <w:rPr>
                <w:rFonts w:ascii="Cambria Math" w:hAnsi="Cambria Math"/>
                <w:sz w:val="22"/>
                <w:szCs w:val="22"/>
              </w:rPr>
              <m:t>i</m:t>
            </m:r>
          </m:sub>
        </m:sSub>
      </m:oMath>
      <w:r w:rsidRPr="00A551A2">
        <w:rPr>
          <w:rFonts w:ascii="Myriad Pro" w:hAnsi="Myriad Pro"/>
          <w:bCs/>
          <w:sz w:val="22"/>
          <w:szCs w:val="22"/>
        </w:rPr>
        <w:t xml:space="preserve"> is the density of ice, </w:t>
      </w:r>
      <m:oMath>
        <m:sSub>
          <m:sSubPr>
            <m:ctrlPr>
              <w:rPr>
                <w:rFonts w:ascii="Cambria Math" w:hAnsi="Cambria Math"/>
                <w:b/>
                <w:i/>
                <w:sz w:val="22"/>
                <w:szCs w:val="22"/>
              </w:rPr>
            </m:ctrlPr>
          </m:sSubPr>
          <m:e>
            <m:r>
              <m:rPr>
                <m:sty m:val="bi"/>
              </m:rPr>
              <w:rPr>
                <w:rFonts w:ascii="Cambria Math" w:hAnsi="Cambria Math"/>
                <w:sz w:val="22"/>
                <w:szCs w:val="22"/>
              </w:rPr>
              <m:t>ρ</m:t>
            </m:r>
          </m:e>
          <m:sub>
            <m:r>
              <m:rPr>
                <m:sty m:val="bi"/>
              </m:rPr>
              <w:rPr>
                <w:rFonts w:ascii="Cambria Math" w:hAnsi="Cambria Math"/>
                <w:sz w:val="22"/>
                <w:szCs w:val="22"/>
              </w:rPr>
              <m:t>w</m:t>
            </m:r>
          </m:sub>
        </m:sSub>
      </m:oMath>
      <w:r w:rsidRPr="00A551A2">
        <w:rPr>
          <w:rFonts w:ascii="Myriad Pro" w:hAnsi="Myriad Pro"/>
          <w:bCs/>
          <w:sz w:val="22"/>
          <w:szCs w:val="22"/>
        </w:rPr>
        <w:t xml:space="preserve"> is the density of water, </w:t>
      </w:r>
      <m:oMath>
        <m:sSub>
          <m:sSubPr>
            <m:ctrlPr>
              <w:rPr>
                <w:rFonts w:ascii="Cambria Math" w:hAnsi="Cambria Math"/>
                <w:b/>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s</m:t>
            </m:r>
          </m:sub>
        </m:sSub>
      </m:oMath>
      <w:r w:rsidRPr="00A551A2">
        <w:rPr>
          <w:rFonts w:ascii="Myriad Pro" w:hAnsi="Myriad Pro"/>
          <w:bCs/>
          <w:sz w:val="22"/>
          <w:szCs w:val="22"/>
        </w:rPr>
        <w:t xml:space="preserve"> (m) is the surface height of the glacier and </w:t>
      </w:r>
      <m:oMath>
        <m:sSub>
          <m:sSubPr>
            <m:ctrlPr>
              <w:rPr>
                <w:rFonts w:ascii="Cambria Math" w:hAnsi="Cambria Math"/>
                <w:b/>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b</m:t>
            </m:r>
          </m:sub>
        </m:sSub>
      </m:oMath>
      <w:r w:rsidRPr="00A551A2">
        <w:rPr>
          <w:rFonts w:ascii="Myriad Pro" w:hAnsi="Myriad Pro"/>
          <w:bCs/>
          <w:sz w:val="22"/>
          <w:szCs w:val="22"/>
        </w:rPr>
        <w:t xml:space="preserve"> is the elevation of the glacier bed. Hydraulic potential is forced over the Thwaites lake region using BedMachine ice thickness and bed elevation data (Morlighem, 2019).</w:t>
      </w:r>
    </w:p>
    <w:p w14:paraId="667D8CA8" w14:textId="6DE700F0" w:rsidR="00015F74" w:rsidRPr="004D5EDC" w:rsidRDefault="00015F74" w:rsidP="00B9440A">
      <w:pPr>
        <w:pStyle w:val="SMHeading"/>
        <w:rPr>
          <w:rFonts w:ascii="Myriad Pro" w:hAnsi="Myriad Pro"/>
        </w:rPr>
      </w:pPr>
      <w:bookmarkStart w:id="10" w:name="_Hlk49155357"/>
      <w:r w:rsidRPr="004D5EDC">
        <w:rPr>
          <w:rFonts w:ascii="Myriad Pro" w:hAnsi="Myriad Pro"/>
        </w:rPr>
        <w:t>Text</w:t>
      </w:r>
      <w:r w:rsidR="00D60BB0" w:rsidRPr="004D5EDC">
        <w:rPr>
          <w:rFonts w:ascii="Myriad Pro" w:hAnsi="Myriad Pro"/>
        </w:rPr>
        <w:t xml:space="preserve"> S</w:t>
      </w:r>
      <w:r w:rsidR="005775A5">
        <w:rPr>
          <w:rFonts w:ascii="Myriad Pro" w:hAnsi="Myriad Pro"/>
        </w:rPr>
        <w:t>4</w:t>
      </w:r>
      <w:r w:rsidR="00D60BB0" w:rsidRPr="004D5EDC">
        <w:rPr>
          <w:rFonts w:ascii="Myriad Pro" w:hAnsi="Myriad Pro"/>
        </w:rPr>
        <w:t>.</w:t>
      </w:r>
      <w:r w:rsidR="00AF35A4" w:rsidRPr="004D5EDC">
        <w:rPr>
          <w:rFonts w:ascii="Myriad Pro" w:hAnsi="Myriad Pro"/>
        </w:rPr>
        <w:t xml:space="preserve"> Methods of estimating channel extent and melting rates (Schoof, 2010)</w:t>
      </w:r>
    </w:p>
    <w:bookmarkEnd w:id="10"/>
    <w:p w14:paraId="19C18CB4" w14:textId="3B280C65" w:rsidR="00AF35A4" w:rsidRPr="00AD7DCA" w:rsidRDefault="00AF35A4" w:rsidP="00AF35A4">
      <w:pPr>
        <w:keepNext/>
        <w:spacing w:before="240" w:after="120"/>
        <w:outlineLvl w:val="0"/>
        <w:rPr>
          <w:rFonts w:ascii="Myriad Pro" w:hAnsi="Myriad Pro"/>
          <w:bCs/>
          <w:kern w:val="28"/>
          <w:sz w:val="22"/>
          <w:szCs w:val="22"/>
        </w:rPr>
      </w:pPr>
      <w:r w:rsidRPr="00AD7DCA">
        <w:rPr>
          <w:rFonts w:ascii="Myriad Pro" w:hAnsi="Myriad Pro"/>
          <w:bCs/>
          <w:kern w:val="28"/>
          <w:sz w:val="22"/>
          <w:szCs w:val="22"/>
        </w:rPr>
        <w:t xml:space="preserve">We assume that water discharged from subglacial lakes is transported primarily through Röthlisberger channels along drainage routes. </w:t>
      </w:r>
      <w:r w:rsidR="00DD394B" w:rsidRPr="00DD394B">
        <w:rPr>
          <w:rFonts w:ascii="Myriad Pro" w:hAnsi="Myriad Pro"/>
          <w:bCs/>
          <w:kern w:val="28"/>
          <w:sz w:val="22"/>
          <w:szCs w:val="22"/>
        </w:rPr>
        <w:t>The R-channel model was chosen for simplicity but we note there are other potential models of subglacial channelized flow; still, we expect the R-channel model to give an order-of-magnitude estimate for channel size and melt production during drainage events.</w:t>
      </w:r>
      <w:r w:rsidR="00DD394B">
        <w:rPr>
          <w:rFonts w:ascii="Myriad Pro" w:hAnsi="Myriad Pro"/>
          <w:bCs/>
          <w:kern w:val="28"/>
          <w:sz w:val="22"/>
          <w:szCs w:val="22"/>
        </w:rPr>
        <w:t xml:space="preserve"> </w:t>
      </w:r>
      <w:r w:rsidRPr="00AD7DCA">
        <w:rPr>
          <w:rFonts w:ascii="Myriad Pro" w:hAnsi="Myriad Pro"/>
          <w:bCs/>
          <w:kern w:val="28"/>
          <w:sz w:val="22"/>
          <w:szCs w:val="22"/>
        </w:rPr>
        <w:t>This</w:t>
      </w:r>
      <w:r w:rsidR="00DD394B">
        <w:rPr>
          <w:rFonts w:ascii="Myriad Pro" w:hAnsi="Myriad Pro"/>
          <w:bCs/>
          <w:kern w:val="28"/>
          <w:sz w:val="22"/>
          <w:szCs w:val="22"/>
        </w:rPr>
        <w:t xml:space="preserve"> model</w:t>
      </w:r>
      <w:r w:rsidRPr="00AD7DCA">
        <w:rPr>
          <w:rFonts w:ascii="Myriad Pro" w:hAnsi="Myriad Pro"/>
          <w:bCs/>
          <w:kern w:val="28"/>
          <w:sz w:val="22"/>
          <w:szCs w:val="22"/>
        </w:rPr>
        <w:t xml:space="preserve"> allows us to estimate the size of the subglacial channels</w:t>
      </w:r>
      <w:r w:rsidR="00A027C0">
        <w:rPr>
          <w:rFonts w:ascii="Myriad Pro" w:hAnsi="Myriad Pro"/>
          <w:bCs/>
          <w:kern w:val="28"/>
          <w:sz w:val="22"/>
          <w:szCs w:val="22"/>
        </w:rPr>
        <w:t xml:space="preserve"> (</w:t>
      </w:r>
      <m:oMath>
        <m:r>
          <m:rPr>
            <m:sty m:val="bi"/>
          </m:rPr>
          <w:rPr>
            <w:rFonts w:ascii="Cambria Math" w:hAnsi="Cambria Math"/>
            <w:kern w:val="28"/>
            <w:sz w:val="22"/>
            <w:szCs w:val="22"/>
          </w:rPr>
          <m:t>S)</m:t>
        </m:r>
      </m:oMath>
      <w:r w:rsidR="00A027C0">
        <w:rPr>
          <w:rFonts w:ascii="Myriad Pro" w:hAnsi="Myriad Pro"/>
          <w:bCs/>
          <w:kern w:val="28"/>
          <w:sz w:val="22"/>
          <w:szCs w:val="22"/>
        </w:rPr>
        <w:t>, assuming semi-circular cross-section,</w:t>
      </w:r>
      <w:r w:rsidRPr="00AD7DCA">
        <w:rPr>
          <w:rFonts w:ascii="Myriad Pro" w:hAnsi="Myriad Pro"/>
          <w:bCs/>
          <w:kern w:val="28"/>
          <w:sz w:val="22"/>
          <w:szCs w:val="22"/>
        </w:rPr>
        <w:t xml:space="preserve"> during lake activity with:</w:t>
      </w:r>
    </w:p>
    <w:p w14:paraId="313F8EA3" w14:textId="521BE3E8" w:rsidR="00AF35A4" w:rsidRPr="00AD7DCA" w:rsidRDefault="00AF35A4" w:rsidP="00AF35A4">
      <w:pPr>
        <w:keepNext/>
        <w:spacing w:before="240" w:after="120"/>
        <w:ind w:left="2880" w:firstLine="720"/>
        <w:jc w:val="center"/>
        <w:outlineLvl w:val="0"/>
        <w:rPr>
          <w:rFonts w:ascii="Myriad Pro" w:hAnsi="Myriad Pro"/>
          <w:bCs/>
          <w:kern w:val="28"/>
          <w:sz w:val="22"/>
          <w:szCs w:val="22"/>
        </w:rPr>
      </w:pPr>
      <w:bookmarkStart w:id="11" w:name="_Hlk47971567"/>
      <m:oMath>
        <m:r>
          <m:rPr>
            <m:sty m:val="bi"/>
          </m:rPr>
          <w:rPr>
            <w:rFonts w:ascii="Cambria Math" w:hAnsi="Cambria Math"/>
            <w:kern w:val="28"/>
            <w:sz w:val="22"/>
            <w:szCs w:val="22"/>
          </w:rPr>
          <m:t>S</m:t>
        </m:r>
        <w:bookmarkEnd w:id="11"/>
        <m:r>
          <m:rPr>
            <m:sty m:val="bi"/>
          </m:rPr>
          <w:rPr>
            <w:rFonts w:ascii="Cambria Math" w:hAnsi="Cambria Math"/>
            <w:kern w:val="28"/>
            <w:sz w:val="22"/>
            <w:szCs w:val="22"/>
          </w:rPr>
          <m:t xml:space="preserve">= </m:t>
        </m:r>
        <m:sSup>
          <m:sSupPr>
            <m:ctrlPr>
              <w:rPr>
                <w:rFonts w:ascii="Cambria Math" w:hAnsi="Cambria Math"/>
                <w:bCs/>
                <w:i/>
                <w:kern w:val="28"/>
                <w:sz w:val="22"/>
                <w:szCs w:val="22"/>
              </w:rPr>
            </m:ctrlPr>
          </m:sSupPr>
          <m:e>
            <m:d>
              <m:dPr>
                <m:begChr m:val="["/>
                <m:endChr m:val="]"/>
                <m:ctrlPr>
                  <w:rPr>
                    <w:rFonts w:ascii="Cambria Math" w:hAnsi="Cambria Math"/>
                    <w:bCs/>
                    <w:i/>
                    <w:kern w:val="28"/>
                    <w:sz w:val="22"/>
                    <w:szCs w:val="22"/>
                  </w:rPr>
                </m:ctrlPr>
              </m:dPr>
              <m:e>
                <m:f>
                  <m:fPr>
                    <m:ctrlPr>
                      <w:rPr>
                        <w:rFonts w:ascii="Cambria Math" w:hAnsi="Cambria Math"/>
                        <w:bCs/>
                        <w:i/>
                        <w:kern w:val="28"/>
                        <w:sz w:val="22"/>
                        <w:szCs w:val="22"/>
                      </w:rPr>
                    </m:ctrlPr>
                  </m:fPr>
                  <m:num>
                    <m:r>
                      <m:rPr>
                        <m:sty m:val="bi"/>
                      </m:rPr>
                      <w:rPr>
                        <w:rFonts w:ascii="Cambria Math" w:hAnsi="Cambria Math"/>
                        <w:kern w:val="28"/>
                        <w:sz w:val="22"/>
                        <w:szCs w:val="22"/>
                      </w:rPr>
                      <m:t>Q</m:t>
                    </m:r>
                    <m:rad>
                      <m:radPr>
                        <m:degHide m:val="1"/>
                        <m:ctrlPr>
                          <w:rPr>
                            <w:rFonts w:ascii="Cambria Math" w:hAnsi="Cambria Math"/>
                            <w:bCs/>
                            <w:i/>
                            <w:kern w:val="28"/>
                            <w:sz w:val="22"/>
                            <w:szCs w:val="22"/>
                          </w:rPr>
                        </m:ctrlPr>
                      </m:radPr>
                      <m:deg/>
                      <m:e>
                        <m:r>
                          <m:rPr>
                            <m:sty m:val="bi"/>
                          </m:rPr>
                          <w:rPr>
                            <w:rFonts w:ascii="Cambria Math" w:hAnsi="Cambria Math"/>
                            <w:kern w:val="28"/>
                            <w:sz w:val="22"/>
                            <w:szCs w:val="22"/>
                          </w:rPr>
                          <m:t>Ψ</m:t>
                        </m:r>
                      </m:e>
                    </m:rad>
                  </m:num>
                  <m:den>
                    <m:r>
                      <m:rPr>
                        <m:sty m:val="bi"/>
                      </m:rPr>
                      <w:rPr>
                        <w:rFonts w:ascii="Cambria Math" w:hAnsi="Cambria Math"/>
                        <w:kern w:val="28"/>
                        <w:sz w:val="22"/>
                        <w:szCs w:val="22"/>
                      </w:rPr>
                      <m:t>c</m:t>
                    </m:r>
                    <m:d>
                      <m:dPr>
                        <m:begChr m:val="|"/>
                        <m:endChr m:val="|"/>
                        <m:ctrlPr>
                          <w:rPr>
                            <w:rFonts w:ascii="Cambria Math" w:hAnsi="Cambria Math"/>
                            <w:bCs/>
                            <w:i/>
                            <w:kern w:val="28"/>
                            <w:sz w:val="22"/>
                            <w:szCs w:val="22"/>
                          </w:rPr>
                        </m:ctrlPr>
                      </m:dPr>
                      <m:e>
                        <m:r>
                          <m:rPr>
                            <m:sty m:val="bi"/>
                          </m:rPr>
                          <w:rPr>
                            <w:rFonts w:ascii="Cambria Math" w:hAnsi="Cambria Math"/>
                            <w:kern w:val="28"/>
                            <w:sz w:val="22"/>
                            <w:szCs w:val="22"/>
                          </w:rPr>
                          <m:t>Ψ</m:t>
                        </m:r>
                      </m:e>
                    </m:d>
                  </m:den>
                </m:f>
              </m:e>
            </m:d>
          </m:e>
          <m:sup>
            <m:f>
              <m:fPr>
                <m:ctrlPr>
                  <w:rPr>
                    <w:rFonts w:ascii="Cambria Math" w:hAnsi="Cambria Math"/>
                    <w:bCs/>
                    <w:i/>
                    <w:kern w:val="28"/>
                    <w:sz w:val="22"/>
                    <w:szCs w:val="22"/>
                  </w:rPr>
                </m:ctrlPr>
              </m:fPr>
              <m:num>
                <m:r>
                  <m:rPr>
                    <m:sty m:val="bi"/>
                  </m:rPr>
                  <w:rPr>
                    <w:rFonts w:ascii="Cambria Math" w:hAnsi="Cambria Math"/>
                    <w:kern w:val="28"/>
                    <w:sz w:val="22"/>
                    <w:szCs w:val="22"/>
                  </w:rPr>
                  <m:t>4</m:t>
                </m:r>
              </m:num>
              <m:den>
                <m:r>
                  <m:rPr>
                    <m:sty m:val="bi"/>
                  </m:rPr>
                  <w:rPr>
                    <w:rFonts w:ascii="Cambria Math" w:hAnsi="Cambria Math"/>
                    <w:kern w:val="28"/>
                    <w:sz w:val="22"/>
                    <w:szCs w:val="22"/>
                  </w:rPr>
                  <m:t>5</m:t>
                </m:r>
              </m:den>
            </m:f>
          </m:sup>
        </m:sSup>
      </m:oMath>
      <w:r w:rsidRPr="00AD7DCA">
        <w:rPr>
          <w:rFonts w:ascii="Myriad Pro" w:hAnsi="Myriad Pro"/>
          <w:bCs/>
          <w:kern w:val="28"/>
          <w:sz w:val="22"/>
          <w:szCs w:val="22"/>
        </w:rPr>
        <w:t xml:space="preserve">. </w:t>
      </w:r>
      <w:r w:rsidRPr="00AD7DCA">
        <w:rPr>
          <w:rFonts w:ascii="Myriad Pro" w:hAnsi="Myriad Pro"/>
          <w:bCs/>
          <w:kern w:val="28"/>
          <w:sz w:val="22"/>
          <w:szCs w:val="22"/>
        </w:rPr>
        <w:tab/>
      </w:r>
      <w:r w:rsidRPr="00AD7DCA">
        <w:rPr>
          <w:rFonts w:ascii="Myriad Pro" w:hAnsi="Myriad Pro"/>
          <w:bCs/>
          <w:kern w:val="28"/>
          <w:sz w:val="22"/>
          <w:szCs w:val="22"/>
        </w:rPr>
        <w:tab/>
      </w:r>
      <w:r w:rsidRPr="00AD7DCA">
        <w:rPr>
          <w:rFonts w:ascii="Myriad Pro" w:hAnsi="Myriad Pro"/>
          <w:bCs/>
          <w:kern w:val="28"/>
          <w:sz w:val="22"/>
          <w:szCs w:val="22"/>
        </w:rPr>
        <w:tab/>
      </w:r>
      <w:r w:rsidRPr="00AD7DCA">
        <w:rPr>
          <w:rFonts w:ascii="Myriad Pro" w:hAnsi="Myriad Pro"/>
          <w:bCs/>
          <w:kern w:val="28"/>
          <w:sz w:val="22"/>
          <w:szCs w:val="22"/>
        </w:rPr>
        <w:tab/>
      </w:r>
      <w:r w:rsidRPr="00AD7DCA">
        <w:rPr>
          <w:rFonts w:ascii="Myriad Pro" w:hAnsi="Myriad Pro"/>
          <w:bCs/>
          <w:kern w:val="28"/>
          <w:sz w:val="22"/>
          <w:szCs w:val="22"/>
        </w:rPr>
        <w:tab/>
        <w:t>(</w:t>
      </w:r>
      <w:r w:rsidR="00A551A2">
        <w:rPr>
          <w:rFonts w:ascii="Myriad Pro" w:hAnsi="Myriad Pro"/>
          <w:bCs/>
          <w:kern w:val="28"/>
          <w:sz w:val="22"/>
          <w:szCs w:val="22"/>
        </w:rPr>
        <w:t>2</w:t>
      </w:r>
      <w:r w:rsidRPr="00AD7DCA">
        <w:rPr>
          <w:rFonts w:ascii="Myriad Pro" w:hAnsi="Myriad Pro"/>
          <w:bCs/>
          <w:kern w:val="28"/>
          <w:sz w:val="22"/>
          <w:szCs w:val="22"/>
        </w:rPr>
        <w:t>)</w:t>
      </w:r>
    </w:p>
    <w:p w14:paraId="6E4FD45C" w14:textId="0C8018CC" w:rsidR="00AF35A4" w:rsidRPr="00AD7DCA" w:rsidRDefault="00AF35A4" w:rsidP="00AF35A4">
      <w:pPr>
        <w:keepNext/>
        <w:spacing w:before="240" w:after="120"/>
        <w:outlineLvl w:val="0"/>
        <w:rPr>
          <w:rFonts w:ascii="Myriad Pro" w:hAnsi="Myriad Pro"/>
          <w:bCs/>
          <w:kern w:val="28"/>
          <w:sz w:val="22"/>
          <w:szCs w:val="22"/>
        </w:rPr>
      </w:pPr>
      <w:r w:rsidRPr="00AD7DCA">
        <w:rPr>
          <w:rFonts w:ascii="Myriad Pro" w:hAnsi="Myriad Pro"/>
          <w:bCs/>
          <w:kern w:val="28"/>
          <w:sz w:val="22"/>
          <w:szCs w:val="22"/>
        </w:rPr>
        <w:t xml:space="preserve">Here steady state is assumed; and  </w:t>
      </w:r>
      <w:bookmarkStart w:id="12" w:name="_Hlk47971856"/>
      <w:r w:rsidRPr="00AD7DCA">
        <w:rPr>
          <w:rFonts w:ascii="Myriad Pro" w:hAnsi="Myriad Pro"/>
          <w:b/>
          <w:i/>
          <w:iCs/>
          <w:kern w:val="28"/>
          <w:sz w:val="22"/>
          <w:szCs w:val="22"/>
        </w:rPr>
        <w:t>Ψ</w:t>
      </w:r>
      <w:bookmarkEnd w:id="12"/>
      <w:r w:rsidRPr="00AD7DCA">
        <w:rPr>
          <w:rFonts w:ascii="Myriad Pro" w:hAnsi="Myriad Pro"/>
          <w:bCs/>
          <w:kern w:val="28"/>
          <w:sz w:val="22"/>
          <w:szCs w:val="22"/>
        </w:rPr>
        <w:t xml:space="preserve"> is hydraulic gradient and </w:t>
      </w:r>
      <w:r w:rsidRPr="00AD7DCA">
        <w:rPr>
          <w:rFonts w:ascii="Myriad Pro" w:hAnsi="Myriad Pro"/>
          <w:b/>
          <w:i/>
          <w:iCs/>
          <w:kern w:val="28"/>
          <w:sz w:val="22"/>
          <w:szCs w:val="22"/>
        </w:rPr>
        <w:t>c</w:t>
      </w:r>
      <w:r w:rsidRPr="00AD7DCA">
        <w:rPr>
          <w:rFonts w:ascii="Myriad Pro" w:hAnsi="Myriad Pro"/>
          <w:bCs/>
          <w:kern w:val="28"/>
          <w:sz w:val="22"/>
          <w:szCs w:val="22"/>
        </w:rPr>
        <w:t xml:space="preserve"> is a constant related by friction factor (</w:t>
      </w:r>
      <m:oMath>
        <m:r>
          <m:rPr>
            <m:sty m:val="bi"/>
          </m:rPr>
          <w:rPr>
            <w:rFonts w:ascii="Cambria Math" w:hAnsi="Cambria Math"/>
            <w:kern w:val="28"/>
            <w:sz w:val="22"/>
            <w:szCs w:val="22"/>
          </w:rPr>
          <m:t>f</m:t>
        </m:r>
      </m:oMath>
      <w:r w:rsidRPr="00AD7DCA">
        <w:rPr>
          <w:rFonts w:ascii="Myriad Pro" w:hAnsi="Myriad Pro"/>
          <w:bCs/>
          <w:kern w:val="28"/>
          <w:sz w:val="22"/>
          <w:szCs w:val="22"/>
        </w:rPr>
        <w:t xml:space="preserve">) defined by </w:t>
      </w:r>
      <m:oMath>
        <m:sSup>
          <m:sSupPr>
            <m:ctrlPr>
              <w:rPr>
                <w:rFonts w:ascii="Cambria Math" w:hAnsi="Cambria Math"/>
                <w:bCs/>
                <w:i/>
                <w:kern w:val="28"/>
                <w:sz w:val="22"/>
                <w:szCs w:val="22"/>
              </w:rPr>
            </m:ctrlPr>
          </m:sSupPr>
          <m:e>
            <m:r>
              <m:rPr>
                <m:sty m:val="bi"/>
              </m:rPr>
              <w:rPr>
                <w:rFonts w:ascii="Cambria Math" w:hAnsi="Cambria Math"/>
                <w:kern w:val="28"/>
                <w:sz w:val="22"/>
                <w:szCs w:val="22"/>
              </w:rPr>
              <m:t>2</m:t>
            </m:r>
          </m:e>
          <m:sup>
            <m:f>
              <m:fPr>
                <m:ctrlPr>
                  <w:rPr>
                    <w:rFonts w:ascii="Cambria Math" w:hAnsi="Cambria Math"/>
                    <w:bCs/>
                    <w:i/>
                    <w:kern w:val="28"/>
                    <w:sz w:val="22"/>
                    <w:szCs w:val="22"/>
                  </w:rPr>
                </m:ctrlPr>
              </m:fPr>
              <m:num>
                <m:r>
                  <m:rPr>
                    <m:sty m:val="bi"/>
                  </m:rPr>
                  <w:rPr>
                    <w:rFonts w:ascii="Cambria Math" w:hAnsi="Cambria Math"/>
                    <w:kern w:val="28"/>
                    <w:sz w:val="22"/>
                    <w:szCs w:val="22"/>
                  </w:rPr>
                  <m:t>1</m:t>
                </m:r>
              </m:num>
              <m:den>
                <m:r>
                  <m:rPr>
                    <m:sty m:val="bi"/>
                  </m:rPr>
                  <w:rPr>
                    <w:rFonts w:ascii="Cambria Math" w:hAnsi="Cambria Math"/>
                    <w:kern w:val="28"/>
                    <w:sz w:val="22"/>
                    <w:szCs w:val="22"/>
                  </w:rPr>
                  <m:t>4</m:t>
                </m:r>
              </m:den>
            </m:f>
          </m:sup>
        </m:sSup>
        <m:rad>
          <m:radPr>
            <m:degHide m:val="1"/>
            <m:ctrlPr>
              <w:rPr>
                <w:rFonts w:ascii="Cambria Math" w:hAnsi="Cambria Math"/>
                <w:bCs/>
                <w:i/>
                <w:kern w:val="28"/>
                <w:sz w:val="22"/>
                <w:szCs w:val="22"/>
              </w:rPr>
            </m:ctrlPr>
          </m:radPr>
          <m:deg/>
          <m:e>
            <m:r>
              <m:rPr>
                <m:sty m:val="bi"/>
              </m:rPr>
              <w:rPr>
                <w:rFonts w:ascii="Cambria Math" w:hAnsi="Cambria Math"/>
                <w:kern w:val="28"/>
                <w:sz w:val="22"/>
                <w:szCs w:val="22"/>
              </w:rPr>
              <m:t>π+2</m:t>
            </m:r>
          </m:e>
        </m:rad>
        <m:r>
          <m:rPr>
            <m:sty m:val="bi"/>
          </m:rPr>
          <w:rPr>
            <w:rFonts w:ascii="Cambria Math" w:hAnsi="Cambria Math"/>
            <w:kern w:val="28"/>
            <w:sz w:val="22"/>
            <w:szCs w:val="22"/>
          </w:rPr>
          <m:t>/</m:t>
        </m:r>
        <m:d>
          <m:dPr>
            <m:ctrlPr>
              <w:rPr>
                <w:rFonts w:ascii="Cambria Math" w:hAnsi="Cambria Math"/>
                <w:bCs/>
                <w:i/>
                <w:kern w:val="28"/>
                <w:sz w:val="22"/>
                <w:szCs w:val="22"/>
              </w:rPr>
            </m:ctrlPr>
          </m:dPr>
          <m:e>
            <m:sSup>
              <m:sSupPr>
                <m:ctrlPr>
                  <w:rPr>
                    <w:rFonts w:ascii="Cambria Math" w:hAnsi="Cambria Math"/>
                    <w:bCs/>
                    <w:i/>
                    <w:kern w:val="28"/>
                    <w:sz w:val="22"/>
                    <w:szCs w:val="22"/>
                  </w:rPr>
                </m:ctrlPr>
              </m:sSupPr>
              <m:e>
                <m:r>
                  <m:rPr>
                    <m:sty m:val="bi"/>
                  </m:rPr>
                  <w:rPr>
                    <w:rFonts w:ascii="Cambria Math" w:hAnsi="Cambria Math"/>
                    <w:kern w:val="28"/>
                    <w:sz w:val="22"/>
                    <w:szCs w:val="22"/>
                  </w:rPr>
                  <m:t>π</m:t>
                </m:r>
              </m:e>
              <m:sup>
                <m:f>
                  <m:fPr>
                    <m:ctrlPr>
                      <w:rPr>
                        <w:rFonts w:ascii="Cambria Math" w:hAnsi="Cambria Math"/>
                        <w:bCs/>
                        <w:i/>
                        <w:kern w:val="28"/>
                        <w:sz w:val="22"/>
                        <w:szCs w:val="22"/>
                      </w:rPr>
                    </m:ctrlPr>
                  </m:fPr>
                  <m:num>
                    <m:r>
                      <m:rPr>
                        <m:sty m:val="bi"/>
                      </m:rPr>
                      <w:rPr>
                        <w:rFonts w:ascii="Cambria Math" w:hAnsi="Cambria Math"/>
                        <w:kern w:val="28"/>
                        <w:sz w:val="22"/>
                        <w:szCs w:val="22"/>
                      </w:rPr>
                      <m:t>1</m:t>
                    </m:r>
                  </m:num>
                  <m:den>
                    <m:r>
                      <m:rPr>
                        <m:sty m:val="bi"/>
                      </m:rPr>
                      <w:rPr>
                        <w:rFonts w:ascii="Cambria Math" w:hAnsi="Cambria Math"/>
                        <w:kern w:val="28"/>
                        <w:sz w:val="22"/>
                        <w:szCs w:val="22"/>
                      </w:rPr>
                      <m:t>4</m:t>
                    </m:r>
                  </m:den>
                </m:f>
              </m:sup>
            </m:sSup>
            <m:rad>
              <m:radPr>
                <m:degHide m:val="1"/>
                <m:ctrlPr>
                  <w:rPr>
                    <w:rFonts w:ascii="Cambria Math" w:hAnsi="Cambria Math"/>
                    <w:bCs/>
                    <w:i/>
                    <w:kern w:val="28"/>
                    <w:sz w:val="22"/>
                    <w:szCs w:val="22"/>
                  </w:rPr>
                </m:ctrlPr>
              </m:radPr>
              <m:deg/>
              <m:e>
                <m:sSub>
                  <m:sSubPr>
                    <m:ctrlPr>
                      <w:rPr>
                        <w:rFonts w:ascii="Cambria Math" w:hAnsi="Cambria Math"/>
                        <w:bCs/>
                        <w:i/>
                        <w:kern w:val="28"/>
                        <w:sz w:val="22"/>
                        <w:szCs w:val="22"/>
                      </w:rPr>
                    </m:ctrlPr>
                  </m:sSubPr>
                  <m:e>
                    <m:r>
                      <m:rPr>
                        <m:sty m:val="bi"/>
                      </m:rPr>
                      <w:rPr>
                        <w:rFonts w:ascii="Cambria Math" w:hAnsi="Cambria Math"/>
                        <w:kern w:val="28"/>
                        <w:sz w:val="22"/>
                        <w:szCs w:val="22"/>
                      </w:rPr>
                      <m:t>ρ</m:t>
                    </m:r>
                  </m:e>
                  <m:sub>
                    <m:r>
                      <m:rPr>
                        <m:sty m:val="bi"/>
                      </m:rPr>
                      <w:rPr>
                        <w:rFonts w:ascii="Cambria Math" w:hAnsi="Cambria Math"/>
                        <w:kern w:val="28"/>
                        <w:sz w:val="22"/>
                        <w:szCs w:val="22"/>
                      </w:rPr>
                      <m:t>w</m:t>
                    </m:r>
                  </m:sub>
                </m:sSub>
                <m:r>
                  <m:rPr>
                    <m:sty m:val="bi"/>
                  </m:rPr>
                  <w:rPr>
                    <w:rFonts w:ascii="Cambria Math" w:hAnsi="Cambria Math"/>
                    <w:kern w:val="28"/>
                    <w:sz w:val="22"/>
                    <w:szCs w:val="22"/>
                  </w:rPr>
                  <m:t>f</m:t>
                </m:r>
              </m:e>
            </m:rad>
          </m:e>
        </m:d>
      </m:oMath>
      <w:r w:rsidRPr="00AD7DCA">
        <w:rPr>
          <w:rFonts w:ascii="Myriad Pro" w:hAnsi="Myriad Pro"/>
          <w:bCs/>
          <w:kern w:val="28"/>
          <w:sz w:val="22"/>
          <w:szCs w:val="22"/>
        </w:rPr>
        <w:t xml:space="preserve">, with </w:t>
      </w:r>
      <m:oMath>
        <m:r>
          <m:rPr>
            <m:sty m:val="bi"/>
          </m:rPr>
          <w:rPr>
            <w:rFonts w:ascii="Cambria Math" w:hAnsi="Cambria Math"/>
            <w:kern w:val="28"/>
            <w:sz w:val="22"/>
            <w:szCs w:val="22"/>
          </w:rPr>
          <m:t>f</m:t>
        </m:r>
      </m:oMath>
      <w:r w:rsidRPr="00AD7DCA">
        <w:rPr>
          <w:rFonts w:ascii="Myriad Pro" w:hAnsi="Myriad Pro"/>
          <w:bCs/>
          <w:kern w:val="28"/>
          <w:sz w:val="22"/>
          <w:szCs w:val="22"/>
        </w:rPr>
        <w:t xml:space="preserve"> being 0.1 </w:t>
      </w:r>
      <w:r w:rsidRPr="00AD7DCA">
        <w:rPr>
          <w:rFonts w:ascii="Myriad Pro" w:hAnsi="Myriad Pro"/>
          <w:bCs/>
          <w:kern w:val="28"/>
          <w:sz w:val="22"/>
          <w:szCs w:val="22"/>
        </w:rPr>
        <w:fldChar w:fldCharType="begin" w:fldLock="1"/>
      </w:r>
      <w:r w:rsidRPr="00AD7DCA">
        <w:rPr>
          <w:rFonts w:ascii="Myriad Pro" w:hAnsi="Myriad Pro"/>
          <w:bCs/>
          <w:kern w:val="28"/>
          <w:sz w:val="22"/>
          <w:szCs w:val="22"/>
        </w:rPr>
        <w:instrText>ADDIN CSL_CITATION {"citationItems":[{"id":"ITEM-1","itemData":{"DOI":"10.1038/nature09618","ISSN":"00280836","abstract":"Increased ice velocities in Greenland are contributing significantly to eustatic sea level rise. Faster ice flow has been associated with ice-ocean interactions in water-terminating outlet glaciers and with increased surface meltwater supply to the ice-sheet bed inland. Observed correlations between surface melt and ice acceleration have raised the possibility of a positive feedback in which surface melting and accelerated dynamic thinning reinforce one another, suggesting that overall warming could lead to accelerated mass loss. Here I show that it is not simply mean surface melt but an increase in water input variability that drives faster ice flow. Glacier sliding responds to melt indirectly through changes in basal water pressure, with observations showing that water under glaciers drains through channels at low pressure or through interconnected cavities at high pressure. Using a model that captures the dynamic switching between channel and cavity drainage modes, I show that channelization and glacier deceleration rather than acceleration occur above a critical rate of water flow. Higher rates of steady water supply can therefore suppress rather than enhance dynamic thinning, indicating that the melt/dynamic thinning feedback is not universally operational. Short-term increases in water input are, however, accommodated by the drainage system through temporary spikes in water pressure. It is these spikes that lead to ice acceleration, which is therefore driven by strong diurnal melt cycles and an increase in rain and surface lake drainage events rather than an increase in mean melt supply. © 2010 Macmillan Publishers Limited. All rights reserved.","author":[{"dropping-particle":"","family":"Schoof","given":"Christian","non-dropping-particle":"","parse-names":false,"suffix":""}],"container-title":"Nature","id":"ITEM-1","issue":"7325","issued":{"date-parts":[["2010","12","9"]]},"page":"803-806","publisher":"Nature Publishing Group","title":"Ice-sheet acceleration driven by melt supply variability","type":"article-journal","volume":"468"},"uris":["http://www.mendeley.com/documents/?uuid=422804a5-b201-3556-9beb-86e50f231a09"]}],"mendeley":{"formattedCitation":"(Schoof, 2010)","plainTextFormattedCitation":"(Schoof, 2010)","previouslyFormattedCitation":"(Schoof, 2010)"},"properties":{"noteIndex":0},"schema":"https://github.com/citation-style-language/schema/raw/master/csl-citation.json"}</w:instrText>
      </w:r>
      <w:r w:rsidRPr="00AD7DCA">
        <w:rPr>
          <w:rFonts w:ascii="Myriad Pro" w:hAnsi="Myriad Pro"/>
          <w:bCs/>
          <w:kern w:val="28"/>
          <w:sz w:val="22"/>
          <w:szCs w:val="22"/>
        </w:rPr>
        <w:fldChar w:fldCharType="separate"/>
      </w:r>
      <w:r w:rsidRPr="00AD7DCA">
        <w:rPr>
          <w:rFonts w:ascii="Myriad Pro" w:hAnsi="Myriad Pro"/>
          <w:bCs/>
          <w:noProof/>
          <w:kern w:val="28"/>
          <w:sz w:val="22"/>
          <w:szCs w:val="22"/>
        </w:rPr>
        <w:t>(Schoof, 2010)</w:t>
      </w:r>
      <w:r w:rsidRPr="00AD7DCA">
        <w:rPr>
          <w:rFonts w:ascii="Myriad Pro" w:hAnsi="Myriad Pro"/>
          <w:bCs/>
          <w:kern w:val="28"/>
          <w:sz w:val="22"/>
          <w:szCs w:val="22"/>
        </w:rPr>
        <w:fldChar w:fldCharType="end"/>
      </w:r>
      <w:r w:rsidR="00A027C0">
        <w:rPr>
          <w:rFonts w:ascii="Myriad Pro" w:hAnsi="Myriad Pro"/>
          <w:bCs/>
          <w:kern w:val="28"/>
          <w:sz w:val="22"/>
          <w:szCs w:val="22"/>
        </w:rPr>
        <w:t>,</w:t>
      </w:r>
      <w:r w:rsidRPr="00AD7DCA">
        <w:rPr>
          <w:rFonts w:ascii="Myriad Pro" w:hAnsi="Myriad Pro"/>
          <w:bCs/>
          <w:kern w:val="28"/>
          <w:sz w:val="22"/>
          <w:szCs w:val="22"/>
        </w:rPr>
        <w:t xml:space="preserve"> </w:t>
      </w:r>
      <m:oMath>
        <m:sSub>
          <m:sSubPr>
            <m:ctrlPr>
              <w:rPr>
                <w:rFonts w:ascii="Cambria Math" w:hAnsi="Cambria Math"/>
                <w:bCs/>
                <w:i/>
                <w:kern w:val="28"/>
                <w:sz w:val="22"/>
                <w:szCs w:val="22"/>
              </w:rPr>
            </m:ctrlPr>
          </m:sSubPr>
          <m:e>
            <m:r>
              <m:rPr>
                <m:sty m:val="bi"/>
              </m:rPr>
              <w:rPr>
                <w:rFonts w:ascii="Cambria Math" w:hAnsi="Cambria Math"/>
                <w:kern w:val="28"/>
                <w:sz w:val="22"/>
                <w:szCs w:val="22"/>
              </w:rPr>
              <m:t>ρ</m:t>
            </m:r>
          </m:e>
          <m:sub>
            <m:r>
              <m:rPr>
                <m:sty m:val="bi"/>
              </m:rPr>
              <w:rPr>
                <w:rFonts w:ascii="Cambria Math" w:hAnsi="Cambria Math"/>
                <w:kern w:val="28"/>
                <w:sz w:val="22"/>
                <w:szCs w:val="22"/>
              </w:rPr>
              <m:t>w</m:t>
            </m:r>
          </m:sub>
        </m:sSub>
      </m:oMath>
      <w:r w:rsidRPr="00AD7DCA">
        <w:rPr>
          <w:rFonts w:ascii="Myriad Pro" w:hAnsi="Myriad Pro"/>
          <w:bCs/>
          <w:kern w:val="28"/>
          <w:sz w:val="22"/>
          <w:szCs w:val="22"/>
        </w:rPr>
        <w:t xml:space="preserve"> the density of water</w:t>
      </w:r>
      <w:r w:rsidR="00A027C0">
        <w:rPr>
          <w:rFonts w:ascii="Myriad Pro" w:hAnsi="Myriad Pro"/>
          <w:bCs/>
          <w:kern w:val="28"/>
          <w:sz w:val="22"/>
          <w:szCs w:val="22"/>
        </w:rPr>
        <w:t xml:space="preserve"> and </w:t>
      </w:r>
      <m:oMath>
        <m:r>
          <m:rPr>
            <m:sty m:val="bi"/>
          </m:rPr>
          <w:rPr>
            <w:rFonts w:ascii="Cambria Math" w:hAnsi="Cambria Math"/>
            <w:kern w:val="28"/>
            <w:sz w:val="22"/>
            <w:szCs w:val="22"/>
          </w:rPr>
          <m:t>Q</m:t>
        </m:r>
      </m:oMath>
      <w:r w:rsidR="00A027C0">
        <w:rPr>
          <w:rFonts w:ascii="Myriad Pro" w:hAnsi="Myriad Pro"/>
          <w:b/>
          <w:kern w:val="28"/>
          <w:sz w:val="22"/>
          <w:szCs w:val="22"/>
        </w:rPr>
        <w:t xml:space="preserve"> </w:t>
      </w:r>
      <w:r w:rsidR="00A027C0">
        <w:rPr>
          <w:rFonts w:ascii="Myriad Pro" w:hAnsi="Myriad Pro"/>
          <w:bCs/>
          <w:kern w:val="28"/>
          <w:sz w:val="22"/>
          <w:szCs w:val="22"/>
        </w:rPr>
        <w:t>the water discharge.</w:t>
      </w:r>
      <w:r w:rsidRPr="00AD7DCA">
        <w:rPr>
          <w:rFonts w:ascii="Myriad Pro" w:hAnsi="Myriad Pro"/>
          <w:bCs/>
          <w:kern w:val="28"/>
          <w:sz w:val="22"/>
          <w:szCs w:val="22"/>
        </w:rPr>
        <w:t xml:space="preserve"> </w:t>
      </w:r>
      <w:r w:rsidR="002A02AE">
        <w:rPr>
          <w:rFonts w:ascii="Myriad Pro" w:hAnsi="Myriad Pro"/>
          <w:bCs/>
          <w:kern w:val="28"/>
          <w:sz w:val="22"/>
          <w:szCs w:val="22"/>
        </w:rPr>
        <w:t>When using formula (2) we assume that cross-sectional area (</w:t>
      </w:r>
      <w:r w:rsidR="002A02AE" w:rsidRPr="002A02AE">
        <w:rPr>
          <w:rFonts w:ascii="Myriad Pro" w:hAnsi="Myriad Pro"/>
          <w:b/>
          <w:i/>
          <w:iCs/>
          <w:kern w:val="28"/>
          <w:sz w:val="22"/>
          <w:szCs w:val="22"/>
        </w:rPr>
        <w:t>S</w:t>
      </w:r>
      <w:r w:rsidR="002A02AE">
        <w:rPr>
          <w:rFonts w:ascii="Myriad Pro" w:hAnsi="Myriad Pro"/>
          <w:bCs/>
          <w:kern w:val="28"/>
          <w:sz w:val="22"/>
          <w:szCs w:val="22"/>
        </w:rPr>
        <w:t>), discharge (</w:t>
      </w:r>
      <w:r w:rsidR="002A02AE" w:rsidRPr="002A02AE">
        <w:rPr>
          <w:rFonts w:ascii="Myriad Pro" w:hAnsi="Myriad Pro"/>
          <w:b/>
          <w:i/>
          <w:iCs/>
          <w:kern w:val="28"/>
          <w:sz w:val="22"/>
          <w:szCs w:val="22"/>
        </w:rPr>
        <w:t>Q</w:t>
      </w:r>
      <w:r w:rsidR="002A02AE">
        <w:rPr>
          <w:rFonts w:ascii="Myriad Pro" w:hAnsi="Myriad Pro"/>
          <w:bCs/>
          <w:kern w:val="28"/>
          <w:sz w:val="22"/>
          <w:szCs w:val="22"/>
        </w:rPr>
        <w:t>) and hydraulic gradient (</w:t>
      </w:r>
      <w:r w:rsidR="002A02AE" w:rsidRPr="00AD7DCA">
        <w:rPr>
          <w:rFonts w:ascii="Myriad Pro" w:hAnsi="Myriad Pro"/>
          <w:b/>
          <w:i/>
          <w:iCs/>
          <w:kern w:val="28"/>
          <w:sz w:val="22"/>
          <w:szCs w:val="22"/>
        </w:rPr>
        <w:t>Ψ</w:t>
      </w:r>
      <w:r w:rsidR="002A02AE">
        <w:rPr>
          <w:rFonts w:ascii="Myriad Pro" w:hAnsi="Myriad Pro"/>
          <w:bCs/>
          <w:kern w:val="28"/>
          <w:sz w:val="22"/>
          <w:szCs w:val="22"/>
        </w:rPr>
        <w:t xml:space="preserve">) are uniform along the channel. We determine </w:t>
      </w:r>
      <w:r w:rsidR="002A02AE" w:rsidRPr="002A02AE">
        <w:rPr>
          <w:rFonts w:ascii="Myriad Pro" w:hAnsi="Myriad Pro"/>
          <w:b/>
          <w:i/>
          <w:iCs/>
          <w:kern w:val="28"/>
          <w:sz w:val="22"/>
          <w:szCs w:val="22"/>
        </w:rPr>
        <w:t>Q</w:t>
      </w:r>
      <w:r w:rsidR="002A02AE">
        <w:rPr>
          <w:rFonts w:ascii="Myriad Pro" w:hAnsi="Myriad Pro"/>
          <w:bCs/>
          <w:kern w:val="28"/>
          <w:sz w:val="22"/>
          <w:szCs w:val="22"/>
        </w:rPr>
        <w:t xml:space="preserve"> by taking the </w:t>
      </w:r>
      <w:r w:rsidR="0059615A">
        <w:rPr>
          <w:rFonts w:ascii="Myriad Pro" w:hAnsi="Myriad Pro"/>
          <w:bCs/>
          <w:kern w:val="28"/>
          <w:sz w:val="22"/>
          <w:szCs w:val="22"/>
        </w:rPr>
        <w:t>average</w:t>
      </w:r>
      <w:r w:rsidR="002A02AE">
        <w:rPr>
          <w:rFonts w:ascii="Myriad Pro" w:hAnsi="Myriad Pro"/>
          <w:bCs/>
          <w:kern w:val="28"/>
          <w:sz w:val="22"/>
          <w:szCs w:val="22"/>
        </w:rPr>
        <w:t xml:space="preserve"> discharge of upstream lakes from Figure 1c. Hydraulic gradient</w:t>
      </w:r>
      <w:r w:rsidR="002A02AE" w:rsidRPr="002A02AE">
        <w:rPr>
          <w:rFonts w:ascii="Myriad Pro" w:hAnsi="Myriad Pro"/>
          <w:b/>
          <w:i/>
          <w:iCs/>
          <w:kern w:val="28"/>
          <w:sz w:val="22"/>
          <w:szCs w:val="22"/>
        </w:rPr>
        <w:t xml:space="preserve"> </w:t>
      </w:r>
      <w:r w:rsidR="002A02AE" w:rsidRPr="00AD7DCA">
        <w:rPr>
          <w:rFonts w:ascii="Myriad Pro" w:hAnsi="Myriad Pro"/>
          <w:b/>
          <w:i/>
          <w:iCs/>
          <w:kern w:val="28"/>
          <w:sz w:val="22"/>
          <w:szCs w:val="22"/>
        </w:rPr>
        <w:t>Ψ</w:t>
      </w:r>
      <w:r w:rsidR="002A02AE">
        <w:rPr>
          <w:rFonts w:ascii="Myriad Pro" w:hAnsi="Myriad Pro"/>
          <w:bCs/>
          <w:kern w:val="28"/>
          <w:sz w:val="22"/>
          <w:szCs w:val="22"/>
        </w:rPr>
        <w:t xml:space="preserve"> is approximated as the change in hydraulic potential (</w:t>
      </w:r>
      <m:oMath>
        <m:r>
          <m:rPr>
            <m:sty m:val="bi"/>
          </m:rPr>
          <w:rPr>
            <w:rFonts w:ascii="Cambria Math" w:hAnsi="Cambria Math"/>
          </w:rPr>
          <m:t>φ</m:t>
        </m:r>
      </m:oMath>
      <w:r w:rsidR="002A02AE">
        <w:rPr>
          <w:rFonts w:ascii="Myriad Pro" w:hAnsi="Myriad Pro"/>
        </w:rPr>
        <w:t>)</w:t>
      </w:r>
      <w:r w:rsidR="002A02AE" w:rsidRPr="00AD7DCA">
        <w:rPr>
          <w:rFonts w:ascii="Myriad Pro" w:hAnsi="Myriad Pro"/>
          <w:bCs/>
          <w:kern w:val="28"/>
          <w:sz w:val="22"/>
          <w:szCs w:val="22"/>
        </w:rPr>
        <w:t xml:space="preserve"> </w:t>
      </w:r>
      <w:r w:rsidR="002A02AE">
        <w:rPr>
          <w:rFonts w:ascii="Myriad Pro" w:hAnsi="Myriad Pro"/>
          <w:bCs/>
          <w:kern w:val="28"/>
          <w:sz w:val="22"/>
          <w:szCs w:val="22"/>
        </w:rPr>
        <w:lastRenderedPageBreak/>
        <w:t xml:space="preserve">divided by the distance along the likely flow paths highlighted in Figure 2. </w:t>
      </w:r>
      <w:r w:rsidRPr="00AD7DCA">
        <w:rPr>
          <w:rFonts w:ascii="Myriad Pro" w:hAnsi="Myriad Pro"/>
          <w:bCs/>
          <w:kern w:val="28"/>
          <w:sz w:val="22"/>
          <w:szCs w:val="22"/>
        </w:rPr>
        <w:t>The velocity of water flowing through the channels (</w:t>
      </w:r>
      <m:oMath>
        <m:r>
          <m:rPr>
            <m:sty m:val="bi"/>
          </m:rPr>
          <w:rPr>
            <w:rFonts w:ascii="Cambria Math" w:hAnsi="Cambria Math"/>
            <w:kern w:val="28"/>
            <w:sz w:val="22"/>
            <w:szCs w:val="22"/>
          </w:rPr>
          <m:t>U</m:t>
        </m:r>
      </m:oMath>
      <w:r w:rsidRPr="00AD7DCA">
        <w:rPr>
          <w:rFonts w:ascii="Myriad Pro" w:hAnsi="Myriad Pro"/>
          <w:bCs/>
          <w:kern w:val="28"/>
          <w:sz w:val="22"/>
          <w:szCs w:val="22"/>
        </w:rPr>
        <w:t>) can be deduced by dividing water flux (</w:t>
      </w:r>
      <m:oMath>
        <m:r>
          <m:rPr>
            <m:sty m:val="bi"/>
          </m:rPr>
          <w:rPr>
            <w:rFonts w:ascii="Cambria Math" w:hAnsi="Cambria Math"/>
            <w:kern w:val="28"/>
            <w:sz w:val="22"/>
            <w:szCs w:val="22"/>
          </w:rPr>
          <m:t>Q</m:t>
        </m:r>
      </m:oMath>
      <w:r w:rsidRPr="00AD7DCA">
        <w:rPr>
          <w:rFonts w:ascii="Myriad Pro" w:hAnsi="Myriad Pro"/>
          <w:bCs/>
          <w:kern w:val="28"/>
          <w:sz w:val="22"/>
          <w:szCs w:val="22"/>
        </w:rPr>
        <w:t>) by the channel cross sectional area (</w:t>
      </w:r>
      <m:oMath>
        <m:r>
          <m:rPr>
            <m:sty m:val="bi"/>
          </m:rPr>
          <w:rPr>
            <w:rFonts w:ascii="Cambria Math" w:hAnsi="Cambria Math"/>
            <w:kern w:val="28"/>
            <w:sz w:val="22"/>
            <w:szCs w:val="22"/>
          </w:rPr>
          <m:t>S</m:t>
        </m:r>
      </m:oMath>
      <w:r w:rsidRPr="00AD7DCA">
        <w:rPr>
          <w:rFonts w:ascii="Myriad Pro" w:hAnsi="Myriad Pro"/>
          <w:bCs/>
          <w:kern w:val="28"/>
          <w:sz w:val="22"/>
          <w:szCs w:val="22"/>
        </w:rPr>
        <w:t>). This allows us to determine a rough estimate of the melting rate (</w:t>
      </w:r>
      <m:oMath>
        <m:r>
          <m:rPr>
            <m:sty m:val="bi"/>
          </m:rPr>
          <w:rPr>
            <w:rFonts w:ascii="Cambria Math" w:hAnsi="Cambria Math"/>
            <w:kern w:val="28"/>
            <w:sz w:val="22"/>
            <w:szCs w:val="22"/>
          </w:rPr>
          <m:t>M</m:t>
        </m:r>
      </m:oMath>
      <w:r w:rsidRPr="00AD7DCA">
        <w:rPr>
          <w:rFonts w:ascii="Myriad Pro" w:hAnsi="Myriad Pro"/>
          <w:bCs/>
          <w:kern w:val="28"/>
          <w:sz w:val="22"/>
          <w:szCs w:val="22"/>
        </w:rPr>
        <w:t>) within the channel with:</w:t>
      </w:r>
    </w:p>
    <w:p w14:paraId="0792C2C3" w14:textId="6FD3A5EA" w:rsidR="00AF35A4" w:rsidRPr="00AD7DCA" w:rsidRDefault="00AF35A4" w:rsidP="00AF35A4">
      <w:pPr>
        <w:keepNext/>
        <w:spacing w:before="240" w:after="120"/>
        <w:ind w:left="2880" w:firstLine="720"/>
        <w:jc w:val="center"/>
        <w:outlineLvl w:val="0"/>
        <w:rPr>
          <w:rFonts w:ascii="Myriad Pro" w:hAnsi="Myriad Pro"/>
          <w:bCs/>
          <w:kern w:val="28"/>
          <w:szCs w:val="24"/>
        </w:rPr>
      </w:pPr>
      <m:oMath>
        <m:r>
          <m:rPr>
            <m:sty m:val="bi"/>
          </m:rPr>
          <w:rPr>
            <w:rFonts w:ascii="Cambria Math" w:hAnsi="Cambria Math"/>
            <w:kern w:val="28"/>
            <w:szCs w:val="24"/>
          </w:rPr>
          <m:t xml:space="preserve">M= </m:t>
        </m:r>
        <m:f>
          <m:fPr>
            <m:ctrlPr>
              <w:rPr>
                <w:rFonts w:ascii="Cambria Math" w:hAnsi="Cambria Math"/>
                <w:b/>
                <w:i/>
                <w:kern w:val="28"/>
                <w:szCs w:val="24"/>
              </w:rPr>
            </m:ctrlPr>
          </m:fPr>
          <m:num>
            <m:r>
              <m:rPr>
                <m:sty m:val="bi"/>
              </m:rPr>
              <w:rPr>
                <w:rFonts w:ascii="Cambria Math" w:hAnsi="Cambria Math"/>
                <w:kern w:val="28"/>
                <w:szCs w:val="24"/>
              </w:rPr>
              <m:t>Q</m:t>
            </m:r>
            <m:r>
              <m:rPr>
                <m:sty m:val="bi"/>
              </m:rPr>
              <w:rPr>
                <w:rFonts w:ascii="Cambria Math" w:hAnsi="Cambria Math"/>
                <w:kern w:val="28"/>
                <w:sz w:val="22"/>
                <w:szCs w:val="22"/>
              </w:rPr>
              <m:t>Ψ</m:t>
            </m:r>
          </m:num>
          <m:den>
            <w:bookmarkStart w:id="13" w:name="_Hlk52958065"/>
            <m:sSub>
              <m:sSubPr>
                <m:ctrlPr>
                  <w:rPr>
                    <w:rFonts w:ascii="Cambria Math" w:hAnsi="Cambria Math"/>
                    <w:b/>
                    <w:i/>
                    <w:kern w:val="28"/>
                    <w:szCs w:val="24"/>
                  </w:rPr>
                </m:ctrlPr>
              </m:sSubPr>
              <m:e>
                <m:r>
                  <m:rPr>
                    <m:sty m:val="bi"/>
                  </m:rPr>
                  <w:rPr>
                    <w:rFonts w:ascii="Cambria Math" w:hAnsi="Cambria Math"/>
                    <w:kern w:val="28"/>
                    <w:szCs w:val="24"/>
                  </w:rPr>
                  <m:t>ρ</m:t>
                </m:r>
              </m:e>
              <m:sub>
                <m:r>
                  <m:rPr>
                    <m:sty m:val="bi"/>
                  </m:rPr>
                  <w:rPr>
                    <w:rFonts w:ascii="Cambria Math" w:hAnsi="Cambria Math"/>
                    <w:kern w:val="28"/>
                    <w:szCs w:val="24"/>
                  </w:rPr>
                  <m:t>i</m:t>
                </m:r>
              </m:sub>
            </m:sSub>
            <w:bookmarkStart w:id="14" w:name="_Hlk52958112"/>
            <w:bookmarkEnd w:id="13"/>
            <m:r>
              <m:rPr>
                <m:sty m:val="bi"/>
              </m:rPr>
              <w:rPr>
                <w:rFonts w:ascii="Cambria Math" w:hAnsi="Cambria Math"/>
                <w:kern w:val="28"/>
                <w:szCs w:val="24"/>
              </w:rPr>
              <m:t>L</m:t>
            </m:r>
            <w:bookmarkEnd w:id="14"/>
          </m:den>
        </m:f>
      </m:oMath>
      <w:r w:rsidRPr="00AD7DCA">
        <w:rPr>
          <w:rFonts w:ascii="Myriad Pro" w:hAnsi="Myriad Pro"/>
          <w:bCs/>
          <w:kern w:val="28"/>
          <w:szCs w:val="24"/>
        </w:rPr>
        <w:t xml:space="preserve"> </w:t>
      </w:r>
      <w:r w:rsidRPr="00AD7DCA">
        <w:rPr>
          <w:rFonts w:ascii="Myriad Pro" w:hAnsi="Myriad Pro"/>
          <w:bCs/>
          <w:kern w:val="28"/>
          <w:szCs w:val="24"/>
        </w:rPr>
        <w:tab/>
      </w:r>
      <w:r w:rsidRPr="00AD7DCA">
        <w:rPr>
          <w:rFonts w:ascii="Myriad Pro" w:hAnsi="Myriad Pro"/>
          <w:bCs/>
          <w:kern w:val="28"/>
          <w:szCs w:val="24"/>
        </w:rPr>
        <w:tab/>
      </w:r>
      <w:r w:rsidRPr="00AD7DCA">
        <w:rPr>
          <w:rFonts w:ascii="Myriad Pro" w:hAnsi="Myriad Pro"/>
          <w:bCs/>
          <w:kern w:val="28"/>
          <w:szCs w:val="24"/>
        </w:rPr>
        <w:tab/>
      </w:r>
      <w:r w:rsidRPr="00AD7DCA">
        <w:rPr>
          <w:rFonts w:ascii="Myriad Pro" w:hAnsi="Myriad Pro"/>
          <w:bCs/>
          <w:kern w:val="28"/>
          <w:szCs w:val="24"/>
        </w:rPr>
        <w:tab/>
      </w:r>
      <w:r w:rsidRPr="00AD7DCA">
        <w:rPr>
          <w:rFonts w:ascii="Myriad Pro" w:hAnsi="Myriad Pro"/>
          <w:bCs/>
          <w:kern w:val="28"/>
          <w:szCs w:val="24"/>
        </w:rPr>
        <w:tab/>
        <w:t>(</w:t>
      </w:r>
      <w:r w:rsidR="00A551A2">
        <w:rPr>
          <w:rFonts w:ascii="Myriad Pro" w:hAnsi="Myriad Pro"/>
          <w:bCs/>
          <w:kern w:val="28"/>
          <w:szCs w:val="24"/>
        </w:rPr>
        <w:t>3</w:t>
      </w:r>
      <w:r w:rsidRPr="00AD7DCA">
        <w:rPr>
          <w:rFonts w:ascii="Myriad Pro" w:hAnsi="Myriad Pro"/>
          <w:bCs/>
          <w:kern w:val="28"/>
          <w:szCs w:val="24"/>
        </w:rPr>
        <w:t>)</w:t>
      </w:r>
    </w:p>
    <w:p w14:paraId="0D7232F4" w14:textId="5BF5FC15" w:rsidR="00EF1DDF" w:rsidRDefault="00045B06" w:rsidP="00AF35A4">
      <w:pPr>
        <w:pStyle w:val="SMText"/>
        <w:ind w:firstLine="0"/>
        <w:rPr>
          <w:rFonts w:ascii="Myriad Pro" w:eastAsia="Calibri" w:hAnsi="Myriad Pro"/>
          <w:sz w:val="22"/>
          <w:szCs w:val="22"/>
          <w:lang w:val="en-GB"/>
        </w:rPr>
      </w:pPr>
      <w:r>
        <w:rPr>
          <w:rFonts w:ascii="Myriad Pro" w:eastAsia="Calibri" w:hAnsi="Myriad Pro"/>
          <w:sz w:val="22"/>
          <w:szCs w:val="22"/>
          <w:lang w:val="en-GB"/>
        </w:rPr>
        <w:t>w</w:t>
      </w:r>
      <w:r w:rsidR="00AF35A4" w:rsidRPr="00AD7DCA">
        <w:rPr>
          <w:rFonts w:ascii="Myriad Pro" w:eastAsia="Calibri" w:hAnsi="Myriad Pro"/>
          <w:sz w:val="22"/>
          <w:szCs w:val="22"/>
          <w:lang w:val="en-GB"/>
        </w:rPr>
        <w:t>here</w:t>
      </w:r>
      <w:r>
        <w:rPr>
          <w:rFonts w:ascii="Myriad Pro" w:eastAsia="Calibri" w:hAnsi="Myriad Pro"/>
          <w:sz w:val="22"/>
          <w:szCs w:val="22"/>
          <w:lang w:val="en-GB"/>
        </w:rPr>
        <w:t xml:space="preserve"> </w:t>
      </w:r>
      <m:oMath>
        <m:sSub>
          <m:sSubPr>
            <m:ctrlPr>
              <w:rPr>
                <w:rFonts w:ascii="Cambria Math" w:hAnsi="Cambria Math"/>
                <w:b/>
                <w:i/>
                <w:kern w:val="28"/>
                <w:szCs w:val="24"/>
              </w:rPr>
            </m:ctrlPr>
          </m:sSubPr>
          <m:e>
            <m:r>
              <m:rPr>
                <m:sty m:val="bi"/>
              </m:rPr>
              <w:rPr>
                <w:rFonts w:ascii="Cambria Math" w:hAnsi="Cambria Math"/>
                <w:kern w:val="28"/>
                <w:szCs w:val="24"/>
              </w:rPr>
              <m:t>ρ</m:t>
            </m:r>
          </m:e>
          <m:sub>
            <m:r>
              <m:rPr>
                <m:sty m:val="bi"/>
              </m:rPr>
              <w:rPr>
                <w:rFonts w:ascii="Cambria Math" w:hAnsi="Cambria Math"/>
                <w:kern w:val="28"/>
                <w:szCs w:val="24"/>
              </w:rPr>
              <m:t>i</m:t>
            </m:r>
          </m:sub>
        </m:sSub>
      </m:oMath>
      <w:r>
        <w:rPr>
          <w:rFonts w:ascii="Myriad Pro" w:eastAsia="Calibri" w:hAnsi="Myriad Pro"/>
          <w:sz w:val="22"/>
          <w:szCs w:val="22"/>
          <w:lang w:val="en-GB"/>
        </w:rPr>
        <w:t xml:space="preserve"> represents the density of ice and </w:t>
      </w:r>
      <m:oMath>
        <m:r>
          <m:rPr>
            <m:sty m:val="bi"/>
          </m:rPr>
          <w:rPr>
            <w:rFonts w:ascii="Cambria Math" w:hAnsi="Cambria Math"/>
            <w:kern w:val="28"/>
            <w:szCs w:val="24"/>
          </w:rPr>
          <m:t>L</m:t>
        </m:r>
      </m:oMath>
      <w:r>
        <w:rPr>
          <w:rFonts w:ascii="Myriad Pro" w:eastAsia="Calibri" w:hAnsi="Myriad Pro"/>
          <w:sz w:val="22"/>
          <w:szCs w:val="22"/>
          <w:lang w:val="en-GB"/>
        </w:rPr>
        <w:t xml:space="preserve"> is the latent heat fusion per unit mass of ice</w:t>
      </w:r>
      <w:r w:rsidR="00AF35A4" w:rsidRPr="00AD7DCA">
        <w:rPr>
          <w:rFonts w:ascii="Myriad Pro" w:eastAsia="Calibri" w:hAnsi="Myriad Pro"/>
          <w:sz w:val="22"/>
          <w:szCs w:val="22"/>
          <w:lang w:val="en-GB"/>
        </w:rPr>
        <w:t xml:space="preserve">. This value </w:t>
      </w:r>
      <w:r w:rsidR="00057F1A">
        <w:rPr>
          <w:rFonts w:ascii="Myriad Pro" w:eastAsia="Calibri" w:hAnsi="Myriad Pro"/>
          <w:sz w:val="22"/>
          <w:szCs w:val="22"/>
          <w:lang w:val="en-GB"/>
        </w:rPr>
        <w:t>is</w:t>
      </w:r>
      <w:r w:rsidR="00AF35A4" w:rsidRPr="00AD7DCA">
        <w:rPr>
          <w:rFonts w:ascii="Myriad Pro" w:eastAsia="Calibri" w:hAnsi="Myriad Pro"/>
          <w:sz w:val="22"/>
          <w:szCs w:val="22"/>
          <w:lang w:val="en-GB"/>
        </w:rPr>
        <w:t xml:space="preserve"> extrapolated over the drainage period to determine the total amount of melt within the subglacial channel system</w:t>
      </w:r>
      <w:r>
        <w:rPr>
          <w:rFonts w:ascii="Myriad Pro" w:eastAsia="Calibri" w:hAnsi="Myriad Pro"/>
          <w:sz w:val="22"/>
          <w:szCs w:val="22"/>
          <w:lang w:val="en-GB"/>
        </w:rPr>
        <w:t>.</w:t>
      </w:r>
    </w:p>
    <w:p w14:paraId="56C6FB94" w14:textId="59B654E1" w:rsidR="00EF1DDF" w:rsidRPr="004D5EDC" w:rsidRDefault="00EF1DDF" w:rsidP="00EF1DDF">
      <w:pPr>
        <w:pStyle w:val="SMHeading"/>
        <w:rPr>
          <w:rFonts w:ascii="Myriad Pro" w:hAnsi="Myriad Pro"/>
        </w:rPr>
      </w:pPr>
      <w:r>
        <w:rPr>
          <w:rFonts w:ascii="Myriad Pro" w:hAnsi="Myriad Pro"/>
        </w:rPr>
        <w:t>Additional Figures</w:t>
      </w:r>
    </w:p>
    <w:p w14:paraId="772C6BDF" w14:textId="77777777" w:rsidR="00EF1DDF" w:rsidRPr="00AD7DCA" w:rsidRDefault="00EF1DDF" w:rsidP="00AF35A4">
      <w:pPr>
        <w:pStyle w:val="SMText"/>
        <w:ind w:firstLine="0"/>
        <w:rPr>
          <w:rFonts w:ascii="Myriad Pro" w:hAnsi="Myriad Pro"/>
          <w:sz w:val="22"/>
          <w:szCs w:val="22"/>
        </w:rPr>
      </w:pPr>
    </w:p>
    <w:p w14:paraId="32CE9E2D" w14:textId="77777777" w:rsidR="003E1980" w:rsidRPr="00CE6EAA" w:rsidRDefault="003E1980" w:rsidP="009A5287">
      <w:pPr>
        <w:pStyle w:val="SMcaption"/>
        <w:rPr>
          <w:rFonts w:ascii="Myriad Pro" w:hAnsi="Myriad Pro"/>
        </w:rPr>
      </w:pPr>
    </w:p>
    <w:p w14:paraId="1B4FAF6C" w14:textId="77777777" w:rsidR="00AF35A4" w:rsidRDefault="00AF35A4" w:rsidP="00AF35A4">
      <w:pPr>
        <w:pStyle w:val="SMcaption"/>
        <w:keepNext/>
      </w:pPr>
      <w:r w:rsidRPr="00AF35A4">
        <w:rPr>
          <w:rFonts w:ascii="Calibri" w:eastAsia="Calibri" w:hAnsi="Calibri"/>
          <w:noProof/>
          <w:sz w:val="22"/>
          <w:szCs w:val="22"/>
          <w:lang w:val="en-GB"/>
        </w:rPr>
        <w:drawing>
          <wp:inline distT="0" distB="0" distL="0" distR="0" wp14:anchorId="4046A6DC" wp14:editId="5EA9BEAB">
            <wp:extent cx="5486400" cy="256647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verg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566478"/>
                    </a:xfrm>
                    <a:prstGeom prst="rect">
                      <a:avLst/>
                    </a:prstGeom>
                  </pic:spPr>
                </pic:pic>
              </a:graphicData>
            </a:graphic>
          </wp:inline>
        </w:drawing>
      </w:r>
    </w:p>
    <w:p w14:paraId="55904BDE" w14:textId="74A8CDBB" w:rsidR="00AF35A4" w:rsidRDefault="00AF35A4" w:rsidP="00AF35A4">
      <w:pPr>
        <w:pStyle w:val="Caption"/>
        <w:rPr>
          <w:lang w:val="en-GB"/>
        </w:rPr>
      </w:pPr>
      <w:r>
        <w:t>Figure S</w:t>
      </w:r>
      <w:r w:rsidR="00C825D0">
        <w:fldChar w:fldCharType="begin"/>
      </w:r>
      <w:r w:rsidR="00C825D0">
        <w:instrText xml:space="preserve"> SEQ Figure \* ARABIC </w:instrText>
      </w:r>
      <w:r w:rsidR="00C825D0">
        <w:fldChar w:fldCharType="separate"/>
      </w:r>
      <w:r w:rsidR="000B2D64">
        <w:rPr>
          <w:noProof/>
        </w:rPr>
        <w:t>1</w:t>
      </w:r>
      <w:r w:rsidR="00C825D0">
        <w:rPr>
          <w:noProof/>
        </w:rPr>
        <w:fldChar w:fldCharType="end"/>
      </w:r>
      <w:r>
        <w:t xml:space="preserve">: </w:t>
      </w:r>
      <w:r w:rsidRPr="00AF35A4">
        <w:rPr>
          <w:lang w:val="en-GB"/>
        </w:rPr>
        <w:t>Divergence over the Thwaites lake system during the inter-drainage period (2014 – 2017). Dashed outlines show lake boundaries</w:t>
      </w:r>
    </w:p>
    <w:p w14:paraId="6D981261" w14:textId="77777777" w:rsidR="00AF35A4" w:rsidRDefault="00AF35A4" w:rsidP="00AF35A4">
      <w:pPr>
        <w:pStyle w:val="Caption"/>
        <w:keepNext/>
      </w:pPr>
      <w:r w:rsidRPr="00AF35A4">
        <w:rPr>
          <w:rFonts w:ascii="Calibri" w:eastAsia="Calibri" w:hAnsi="Calibri"/>
          <w:b w:val="0"/>
          <w:bCs w:val="0"/>
          <w:noProof/>
          <w:szCs w:val="22"/>
          <w:lang w:val="en-GB"/>
        </w:rPr>
        <w:lastRenderedPageBreak/>
        <w:drawing>
          <wp:inline distT="0" distB="0" distL="0" distR="0" wp14:anchorId="282CEE72" wp14:editId="1F85C239">
            <wp:extent cx="5292130" cy="24784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2130" cy="2478494"/>
                    </a:xfrm>
                    <a:prstGeom prst="rect">
                      <a:avLst/>
                    </a:prstGeom>
                  </pic:spPr>
                </pic:pic>
              </a:graphicData>
            </a:graphic>
          </wp:inline>
        </w:drawing>
      </w:r>
    </w:p>
    <w:p w14:paraId="7E5953D7" w14:textId="30883EDA" w:rsidR="00AF35A4" w:rsidRPr="00AF35A4" w:rsidRDefault="00AF35A4" w:rsidP="00AF35A4">
      <w:pPr>
        <w:pStyle w:val="Caption"/>
      </w:pPr>
      <w:r>
        <w:t>Figure S</w:t>
      </w:r>
      <w:r w:rsidR="00C825D0">
        <w:fldChar w:fldCharType="begin"/>
      </w:r>
      <w:r w:rsidR="00C825D0">
        <w:instrText xml:space="preserve"> SEQ Figure \* ARABIC </w:instrText>
      </w:r>
      <w:r w:rsidR="00C825D0">
        <w:fldChar w:fldCharType="separate"/>
      </w:r>
      <w:r w:rsidR="000B2D64">
        <w:rPr>
          <w:noProof/>
        </w:rPr>
        <w:t>2</w:t>
      </w:r>
      <w:r w:rsidR="00C825D0">
        <w:rPr>
          <w:noProof/>
        </w:rPr>
        <w:fldChar w:fldCharType="end"/>
      </w:r>
      <w:r>
        <w:t xml:space="preserve">: </w:t>
      </w:r>
      <w:r w:rsidRPr="00AF35A4">
        <w:rPr>
          <w:lang w:val="en-GB"/>
        </w:rPr>
        <w:t xml:space="preserve">Average wind speed and direction (Kalney </w:t>
      </w:r>
      <w:r w:rsidRPr="00AF35A4">
        <w:rPr>
          <w:i/>
          <w:iCs/>
          <w:lang w:val="en-GB"/>
        </w:rPr>
        <w:t>et al.,</w:t>
      </w:r>
      <w:r w:rsidRPr="00AF35A4">
        <w:rPr>
          <w:lang w:val="en-GB"/>
        </w:rPr>
        <w:t xml:space="preserve"> 1996) over the Amundsen Sea Sector from January 2014 to December 2017. Black outline represents grounding lines (Fretwell </w:t>
      </w:r>
      <w:r w:rsidRPr="00AF35A4">
        <w:rPr>
          <w:i/>
          <w:iCs/>
          <w:lang w:val="en-GB"/>
        </w:rPr>
        <w:t>et al.,</w:t>
      </w:r>
      <w:r w:rsidRPr="00AF35A4">
        <w:rPr>
          <w:lang w:val="en-GB"/>
        </w:rPr>
        <w:t xml:space="preserve"> 2012), whilst the black features represent the Thwaites subglacial lakes.</w:t>
      </w:r>
    </w:p>
    <w:p w14:paraId="2B2DBB2C" w14:textId="77777777" w:rsidR="00AF35A4" w:rsidRDefault="00AF35A4" w:rsidP="00AF35A4">
      <w:pPr>
        <w:pStyle w:val="SMHeading"/>
      </w:pPr>
      <w:r w:rsidRPr="00AF35A4">
        <w:rPr>
          <w:rFonts w:ascii="Calibri" w:eastAsia="Calibri" w:hAnsi="Calibri"/>
          <w:b w:val="0"/>
          <w:bCs w:val="0"/>
          <w:noProof/>
          <w:kern w:val="0"/>
          <w:szCs w:val="22"/>
          <w:lang w:val="en-GB"/>
        </w:rPr>
        <w:drawing>
          <wp:inline distT="0" distB="0" distL="0" distR="0" wp14:anchorId="081BA0CC" wp14:editId="57A35038">
            <wp:extent cx="5417312" cy="281366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dProfi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7312" cy="2813669"/>
                    </a:xfrm>
                    <a:prstGeom prst="rect">
                      <a:avLst/>
                    </a:prstGeom>
                  </pic:spPr>
                </pic:pic>
              </a:graphicData>
            </a:graphic>
          </wp:inline>
        </w:drawing>
      </w:r>
    </w:p>
    <w:p w14:paraId="3F8BA533" w14:textId="2AA1F227" w:rsidR="00AF35A4" w:rsidRDefault="00AF35A4" w:rsidP="00AF35A4">
      <w:pPr>
        <w:pStyle w:val="Caption"/>
        <w:rPr>
          <w:lang w:val="en-GB"/>
        </w:rPr>
      </w:pPr>
      <w:r>
        <w:t>Figure S</w:t>
      </w:r>
      <w:r w:rsidR="00C825D0">
        <w:fldChar w:fldCharType="begin"/>
      </w:r>
      <w:r w:rsidR="00C825D0">
        <w:instrText xml:space="preserve"> SEQ Figure \* ARABIC </w:instrText>
      </w:r>
      <w:r w:rsidR="00C825D0">
        <w:fldChar w:fldCharType="separate"/>
      </w:r>
      <w:r w:rsidR="000B2D64">
        <w:rPr>
          <w:noProof/>
        </w:rPr>
        <w:t>3</w:t>
      </w:r>
      <w:r w:rsidR="00C825D0">
        <w:rPr>
          <w:noProof/>
        </w:rPr>
        <w:fldChar w:fldCharType="end"/>
      </w:r>
      <w:r>
        <w:t>:</w:t>
      </w:r>
      <w:r w:rsidRPr="00AF35A4">
        <w:rPr>
          <w:rFonts w:ascii="Myraid pro" w:eastAsia="Calibri" w:hAnsi="Myraid pro"/>
          <w:b w:val="0"/>
          <w:bCs w:val="0"/>
          <w:color w:val="000000"/>
          <w:sz w:val="22"/>
          <w:szCs w:val="22"/>
          <w:lang w:val="en-GB"/>
        </w:rPr>
        <w:t xml:space="preserve"> </w:t>
      </w:r>
      <w:r w:rsidRPr="00AF35A4">
        <w:rPr>
          <w:lang w:val="en-GB"/>
        </w:rPr>
        <w:t>Profile of average rates of surface elevation change over lake outlines during the inter-drainage period (2014 – 2017). Maps show surface elevation change over features with background thinning removed. Lake outlines are drawn with dashed lines. (a), (c), (e) and (g): Rates of surface elevation change for Thw</w:t>
      </w:r>
      <w:r w:rsidRPr="00AF35A4">
        <w:rPr>
          <w:vertAlign w:val="subscript"/>
          <w:lang w:val="en-GB"/>
        </w:rPr>
        <w:t>70</w:t>
      </w:r>
      <w:r w:rsidRPr="00AF35A4">
        <w:rPr>
          <w:lang w:val="en-GB"/>
        </w:rPr>
        <w:t>, Thw</w:t>
      </w:r>
      <w:r w:rsidRPr="00AF35A4">
        <w:rPr>
          <w:vertAlign w:val="subscript"/>
          <w:lang w:val="en-GB"/>
        </w:rPr>
        <w:t>124</w:t>
      </w:r>
      <w:r w:rsidRPr="00AF35A4">
        <w:rPr>
          <w:lang w:val="en-GB"/>
        </w:rPr>
        <w:t>, Thw</w:t>
      </w:r>
      <w:r w:rsidRPr="00AF35A4">
        <w:rPr>
          <w:vertAlign w:val="subscript"/>
          <w:lang w:val="en-GB"/>
        </w:rPr>
        <w:t>142</w:t>
      </w:r>
      <w:r w:rsidRPr="00AF35A4">
        <w:rPr>
          <w:lang w:val="en-GB"/>
        </w:rPr>
        <w:t xml:space="preserve"> and Thw</w:t>
      </w:r>
      <w:r w:rsidRPr="00AF35A4">
        <w:rPr>
          <w:vertAlign w:val="subscript"/>
          <w:lang w:val="en-GB"/>
        </w:rPr>
        <w:t>170</w:t>
      </w:r>
      <w:r w:rsidRPr="00AF35A4">
        <w:rPr>
          <w:lang w:val="en-GB"/>
        </w:rPr>
        <w:t xml:space="preserve"> respectively during the inter-drainage period with profiles in prevailing wind direction. (b), (d), (f) and (h): Profiles of surface elevation change in prevailing wind direction for Thw</w:t>
      </w:r>
      <w:r w:rsidRPr="00AF35A4">
        <w:rPr>
          <w:vertAlign w:val="subscript"/>
          <w:lang w:val="en-GB"/>
        </w:rPr>
        <w:t>70</w:t>
      </w:r>
      <w:r w:rsidRPr="00AF35A4">
        <w:rPr>
          <w:lang w:val="en-GB"/>
        </w:rPr>
        <w:t>, Thw</w:t>
      </w:r>
      <w:r w:rsidRPr="00AF35A4">
        <w:rPr>
          <w:vertAlign w:val="subscript"/>
          <w:lang w:val="en-GB"/>
        </w:rPr>
        <w:t>124</w:t>
      </w:r>
      <w:r w:rsidRPr="00AF35A4">
        <w:rPr>
          <w:lang w:val="en-GB"/>
        </w:rPr>
        <w:t>, Thw</w:t>
      </w:r>
      <w:r w:rsidRPr="00AF35A4">
        <w:rPr>
          <w:vertAlign w:val="subscript"/>
          <w:lang w:val="en-GB"/>
        </w:rPr>
        <w:t>142</w:t>
      </w:r>
      <w:r w:rsidRPr="00AF35A4">
        <w:rPr>
          <w:lang w:val="en-GB"/>
        </w:rPr>
        <w:t xml:space="preserve"> and Thw</w:t>
      </w:r>
      <w:r w:rsidRPr="00AF35A4">
        <w:rPr>
          <w:vertAlign w:val="subscript"/>
          <w:lang w:val="en-GB"/>
        </w:rPr>
        <w:t>170</w:t>
      </w:r>
      <w:r w:rsidRPr="00AF35A4">
        <w:rPr>
          <w:lang w:val="en-GB"/>
        </w:rPr>
        <w:t xml:space="preserve"> respectively.</w:t>
      </w:r>
    </w:p>
    <w:p w14:paraId="5D8A309A" w14:textId="55371B7B" w:rsidR="00B27017" w:rsidRDefault="00B27017" w:rsidP="00B010B6">
      <w:pPr>
        <w:keepNext/>
      </w:pPr>
    </w:p>
    <w:p w14:paraId="5FE660CC" w14:textId="77777777" w:rsidR="00AF35A4" w:rsidRDefault="00AF35A4" w:rsidP="00AF35A4">
      <w:pPr>
        <w:pStyle w:val="SMHeading"/>
      </w:pPr>
      <w:r w:rsidRPr="00AF35A4">
        <w:rPr>
          <w:rFonts w:ascii="Calibri" w:eastAsia="Calibri" w:hAnsi="Calibri"/>
          <w:b w:val="0"/>
          <w:bCs w:val="0"/>
          <w:noProof/>
          <w:kern w:val="0"/>
          <w:szCs w:val="22"/>
          <w:lang w:val="en-GB"/>
        </w:rPr>
        <w:drawing>
          <wp:inline distT="0" distB="0" distL="0" distR="0" wp14:anchorId="728FCE71" wp14:editId="35E5DA83">
            <wp:extent cx="5142449" cy="256647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2449" cy="2566478"/>
                    </a:xfrm>
                    <a:prstGeom prst="rect">
                      <a:avLst/>
                    </a:prstGeom>
                  </pic:spPr>
                </pic:pic>
              </a:graphicData>
            </a:graphic>
          </wp:inline>
        </w:drawing>
      </w:r>
    </w:p>
    <w:p w14:paraId="5D6A4C55" w14:textId="3EEF98E4" w:rsidR="00AF35A4" w:rsidRDefault="00AF35A4" w:rsidP="00AF35A4">
      <w:pPr>
        <w:pStyle w:val="Caption"/>
        <w:rPr>
          <w:rFonts w:ascii="Myriad Pro" w:hAnsi="Myriad Pro"/>
          <w:sz w:val="22"/>
          <w:szCs w:val="22"/>
        </w:rPr>
      </w:pPr>
      <w:r>
        <w:t>Figure S</w:t>
      </w:r>
      <w:r w:rsidR="007C0E60">
        <w:t>4</w:t>
      </w:r>
      <w:r>
        <w:t>:</w:t>
      </w:r>
      <w:r w:rsidRPr="00AF35A4">
        <w:rPr>
          <w:rFonts w:ascii="Myraid pro" w:eastAsia="Calibri" w:hAnsi="Myraid pro"/>
          <w:b w:val="0"/>
          <w:bCs w:val="0"/>
          <w:sz w:val="22"/>
          <w:szCs w:val="22"/>
          <w:lang w:val="en-GB"/>
        </w:rPr>
        <w:t xml:space="preserve"> </w:t>
      </w:r>
      <w:r w:rsidRPr="00AF35A4">
        <w:rPr>
          <w:lang w:val="en-GB"/>
        </w:rPr>
        <w:t>Hydropotential gradient between lakes compared against background hydropotential gradient. Potential gradient between lakes is calculated by dividing the difference in height anomaly between lakes during 2017 activity by distance along drainage pathways. Background potential gradient found by averaging hydropotential within each basin and dividing by distance. (a) hydropotential gradient comparison between Thw</w:t>
      </w:r>
      <w:r w:rsidRPr="00AF35A4">
        <w:rPr>
          <w:vertAlign w:val="subscript"/>
          <w:lang w:val="en-GB"/>
        </w:rPr>
        <w:t>170</w:t>
      </w:r>
      <w:r w:rsidRPr="00AF35A4">
        <w:rPr>
          <w:lang w:val="en-GB"/>
        </w:rPr>
        <w:t xml:space="preserve"> and Thw</w:t>
      </w:r>
      <w:r w:rsidRPr="00AF35A4">
        <w:rPr>
          <w:vertAlign w:val="subscript"/>
          <w:lang w:val="en-GB"/>
        </w:rPr>
        <w:t>124</w:t>
      </w:r>
      <w:r w:rsidRPr="00AF35A4">
        <w:rPr>
          <w:lang w:val="en-GB"/>
        </w:rPr>
        <w:t>. (b) hydropotential gradient comparison between Thw</w:t>
      </w:r>
      <w:r w:rsidRPr="00AF35A4">
        <w:rPr>
          <w:vertAlign w:val="subscript"/>
          <w:lang w:val="en-GB"/>
        </w:rPr>
        <w:t>142</w:t>
      </w:r>
      <w:r w:rsidRPr="00AF35A4">
        <w:rPr>
          <w:lang w:val="en-GB"/>
        </w:rPr>
        <w:t xml:space="preserve"> and Thw</w:t>
      </w:r>
      <w:r w:rsidRPr="00AF35A4">
        <w:rPr>
          <w:vertAlign w:val="subscript"/>
          <w:lang w:val="en-GB"/>
        </w:rPr>
        <w:t>124</w:t>
      </w:r>
      <w:r w:rsidRPr="00AF35A4">
        <w:rPr>
          <w:lang w:val="en-GB"/>
        </w:rPr>
        <w:t>. (c) hydropotential gradient comparison between Thw</w:t>
      </w:r>
      <w:r w:rsidRPr="00AF35A4">
        <w:rPr>
          <w:vertAlign w:val="subscript"/>
          <w:lang w:val="en-GB"/>
        </w:rPr>
        <w:t>170</w:t>
      </w:r>
      <w:r w:rsidRPr="00AF35A4">
        <w:rPr>
          <w:lang w:val="en-GB"/>
        </w:rPr>
        <w:t xml:space="preserve"> and Thw</w:t>
      </w:r>
      <w:r w:rsidRPr="00AF35A4">
        <w:rPr>
          <w:vertAlign w:val="subscript"/>
          <w:lang w:val="en-GB"/>
        </w:rPr>
        <w:t>142</w:t>
      </w:r>
      <w:r w:rsidRPr="00AF35A4">
        <w:rPr>
          <w:lang w:val="en-GB"/>
        </w:rPr>
        <w:t>.</w:t>
      </w:r>
    </w:p>
    <w:p w14:paraId="0E9227E8" w14:textId="7FCA636F" w:rsidR="00E768FB" w:rsidRDefault="00E768FB" w:rsidP="00E768FB">
      <w:pPr>
        <w:pStyle w:val="SMHeading"/>
      </w:pPr>
    </w:p>
    <w:p w14:paraId="7F792F84" w14:textId="06B8EF8B" w:rsidR="00B9440A" w:rsidRPr="00B010B6" w:rsidRDefault="00B9440A" w:rsidP="005A2334">
      <w:pPr>
        <w:pStyle w:val="Caption"/>
        <w:rPr>
          <w:rFonts w:ascii="Myriad Pro" w:hAnsi="Myriad Pro"/>
          <w:sz w:val="22"/>
          <w:szCs w:val="22"/>
        </w:rPr>
      </w:pPr>
    </w:p>
    <w:sectPr w:rsidR="00B9440A" w:rsidRPr="00B010B6" w:rsidSect="00F125EE">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17B8A" w14:textId="77777777" w:rsidR="00C825D0" w:rsidRDefault="00C825D0">
      <w:r>
        <w:separator/>
      </w:r>
    </w:p>
  </w:endnote>
  <w:endnote w:type="continuationSeparator" w:id="0">
    <w:p w14:paraId="6D9A3B78" w14:textId="77777777" w:rsidR="00C825D0" w:rsidRDefault="00C82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yraid pro">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6102A" w14:textId="77777777" w:rsidR="001966FD" w:rsidRDefault="001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BBCA3" w14:textId="77777777" w:rsidR="001966FD" w:rsidRDefault="001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A8AB2" w14:textId="77777777" w:rsidR="00C825D0" w:rsidRDefault="00C825D0">
      <w:r>
        <w:separator/>
      </w:r>
    </w:p>
  </w:footnote>
  <w:footnote w:type="continuationSeparator" w:id="0">
    <w:p w14:paraId="269C1191" w14:textId="77777777" w:rsidR="00C825D0" w:rsidRDefault="00C82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9EF6B" w14:textId="77777777" w:rsidR="001966FD" w:rsidRDefault="001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C5ADD" w14:textId="77777777" w:rsidR="001966FD" w:rsidRDefault="001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45B06"/>
    <w:rsid w:val="00055FE9"/>
    <w:rsid w:val="00057F1A"/>
    <w:rsid w:val="00065EBD"/>
    <w:rsid w:val="00083B44"/>
    <w:rsid w:val="000850DC"/>
    <w:rsid w:val="00094365"/>
    <w:rsid w:val="000B2D64"/>
    <w:rsid w:val="000B2E64"/>
    <w:rsid w:val="000C2771"/>
    <w:rsid w:val="000D68BD"/>
    <w:rsid w:val="000F0DCE"/>
    <w:rsid w:val="00111843"/>
    <w:rsid w:val="00112C5B"/>
    <w:rsid w:val="00113908"/>
    <w:rsid w:val="00114193"/>
    <w:rsid w:val="001154E6"/>
    <w:rsid w:val="00115A38"/>
    <w:rsid w:val="0011687B"/>
    <w:rsid w:val="00120C86"/>
    <w:rsid w:val="00124F82"/>
    <w:rsid w:val="001278E3"/>
    <w:rsid w:val="00130743"/>
    <w:rsid w:val="00130B50"/>
    <w:rsid w:val="00152BA8"/>
    <w:rsid w:val="0016337A"/>
    <w:rsid w:val="00164269"/>
    <w:rsid w:val="001966FD"/>
    <w:rsid w:val="00197826"/>
    <w:rsid w:val="001A1BDE"/>
    <w:rsid w:val="001C7B4E"/>
    <w:rsid w:val="001F0876"/>
    <w:rsid w:val="001F167C"/>
    <w:rsid w:val="001F5E91"/>
    <w:rsid w:val="0020183F"/>
    <w:rsid w:val="002077B9"/>
    <w:rsid w:val="00221C70"/>
    <w:rsid w:val="002251AF"/>
    <w:rsid w:val="00227D86"/>
    <w:rsid w:val="00243B68"/>
    <w:rsid w:val="00262D72"/>
    <w:rsid w:val="00266C57"/>
    <w:rsid w:val="002800B6"/>
    <w:rsid w:val="002A02AE"/>
    <w:rsid w:val="002B35D4"/>
    <w:rsid w:val="002C030F"/>
    <w:rsid w:val="002C6810"/>
    <w:rsid w:val="002D2E8D"/>
    <w:rsid w:val="002F2128"/>
    <w:rsid w:val="002F3966"/>
    <w:rsid w:val="00320E2C"/>
    <w:rsid w:val="003274DF"/>
    <w:rsid w:val="00331D75"/>
    <w:rsid w:val="00355362"/>
    <w:rsid w:val="003637C6"/>
    <w:rsid w:val="00363E44"/>
    <w:rsid w:val="0037305B"/>
    <w:rsid w:val="00395E86"/>
    <w:rsid w:val="003A01E8"/>
    <w:rsid w:val="003A2FD8"/>
    <w:rsid w:val="003B40E6"/>
    <w:rsid w:val="003C007A"/>
    <w:rsid w:val="003E1980"/>
    <w:rsid w:val="003F6E14"/>
    <w:rsid w:val="00405336"/>
    <w:rsid w:val="0041195D"/>
    <w:rsid w:val="00425A22"/>
    <w:rsid w:val="004568BC"/>
    <w:rsid w:val="004571D5"/>
    <w:rsid w:val="00462F1B"/>
    <w:rsid w:val="0046356B"/>
    <w:rsid w:val="00477182"/>
    <w:rsid w:val="004779CB"/>
    <w:rsid w:val="00481118"/>
    <w:rsid w:val="00492378"/>
    <w:rsid w:val="004B2481"/>
    <w:rsid w:val="004D2A8C"/>
    <w:rsid w:val="004D5EDC"/>
    <w:rsid w:val="004E42D8"/>
    <w:rsid w:val="004E7BA2"/>
    <w:rsid w:val="004F7EDF"/>
    <w:rsid w:val="005001AC"/>
    <w:rsid w:val="00513976"/>
    <w:rsid w:val="00517016"/>
    <w:rsid w:val="00527D71"/>
    <w:rsid w:val="00527D84"/>
    <w:rsid w:val="005314B5"/>
    <w:rsid w:val="0054432F"/>
    <w:rsid w:val="00552C23"/>
    <w:rsid w:val="005607DD"/>
    <w:rsid w:val="005709B1"/>
    <w:rsid w:val="00572DFF"/>
    <w:rsid w:val="005775A5"/>
    <w:rsid w:val="005827EB"/>
    <w:rsid w:val="0059615A"/>
    <w:rsid w:val="005A2334"/>
    <w:rsid w:val="005A558C"/>
    <w:rsid w:val="005B186E"/>
    <w:rsid w:val="005B3608"/>
    <w:rsid w:val="005C6651"/>
    <w:rsid w:val="005D6D71"/>
    <w:rsid w:val="005E28F8"/>
    <w:rsid w:val="005E6513"/>
    <w:rsid w:val="00611F9E"/>
    <w:rsid w:val="006237D4"/>
    <w:rsid w:val="00651114"/>
    <w:rsid w:val="006622CF"/>
    <w:rsid w:val="00664A12"/>
    <w:rsid w:val="0066722B"/>
    <w:rsid w:val="00670299"/>
    <w:rsid w:val="006734DB"/>
    <w:rsid w:val="006821B2"/>
    <w:rsid w:val="0068469F"/>
    <w:rsid w:val="00691985"/>
    <w:rsid w:val="006962C1"/>
    <w:rsid w:val="006A1B64"/>
    <w:rsid w:val="006B03AD"/>
    <w:rsid w:val="006C09B8"/>
    <w:rsid w:val="006F602A"/>
    <w:rsid w:val="007108F5"/>
    <w:rsid w:val="00713AF2"/>
    <w:rsid w:val="00713E5B"/>
    <w:rsid w:val="007370B5"/>
    <w:rsid w:val="007402FC"/>
    <w:rsid w:val="007411A1"/>
    <w:rsid w:val="00747E4C"/>
    <w:rsid w:val="007563F2"/>
    <w:rsid w:val="00764008"/>
    <w:rsid w:val="007B297A"/>
    <w:rsid w:val="007C0E60"/>
    <w:rsid w:val="007C5BD6"/>
    <w:rsid w:val="00807D35"/>
    <w:rsid w:val="008115D9"/>
    <w:rsid w:val="00817ABC"/>
    <w:rsid w:val="00825950"/>
    <w:rsid w:val="00825B37"/>
    <w:rsid w:val="00885C9B"/>
    <w:rsid w:val="008927D0"/>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59A7"/>
    <w:rsid w:val="009A5287"/>
    <w:rsid w:val="009B25E9"/>
    <w:rsid w:val="009B2AC5"/>
    <w:rsid w:val="009B7984"/>
    <w:rsid w:val="009D1A62"/>
    <w:rsid w:val="009D730B"/>
    <w:rsid w:val="009F24C0"/>
    <w:rsid w:val="009F4BED"/>
    <w:rsid w:val="009F7D93"/>
    <w:rsid w:val="00A027C0"/>
    <w:rsid w:val="00A276DF"/>
    <w:rsid w:val="00A3084A"/>
    <w:rsid w:val="00A3403B"/>
    <w:rsid w:val="00A50033"/>
    <w:rsid w:val="00A51A12"/>
    <w:rsid w:val="00A54DA4"/>
    <w:rsid w:val="00A551A2"/>
    <w:rsid w:val="00A627D4"/>
    <w:rsid w:val="00A74DA2"/>
    <w:rsid w:val="00A92733"/>
    <w:rsid w:val="00AA76F3"/>
    <w:rsid w:val="00AB086A"/>
    <w:rsid w:val="00AB3CE2"/>
    <w:rsid w:val="00AC7DA6"/>
    <w:rsid w:val="00AD499C"/>
    <w:rsid w:val="00AD7DCA"/>
    <w:rsid w:val="00AE63A3"/>
    <w:rsid w:val="00AF1A5C"/>
    <w:rsid w:val="00AF35A4"/>
    <w:rsid w:val="00B010B6"/>
    <w:rsid w:val="00B27017"/>
    <w:rsid w:val="00B30334"/>
    <w:rsid w:val="00B3147F"/>
    <w:rsid w:val="00B34C87"/>
    <w:rsid w:val="00B36869"/>
    <w:rsid w:val="00B43B31"/>
    <w:rsid w:val="00B43F7A"/>
    <w:rsid w:val="00B47CFA"/>
    <w:rsid w:val="00B57F00"/>
    <w:rsid w:val="00B60E54"/>
    <w:rsid w:val="00B626CB"/>
    <w:rsid w:val="00B7560C"/>
    <w:rsid w:val="00B77E40"/>
    <w:rsid w:val="00B82C22"/>
    <w:rsid w:val="00B93DBA"/>
    <w:rsid w:val="00B9440A"/>
    <w:rsid w:val="00B952C1"/>
    <w:rsid w:val="00B968D7"/>
    <w:rsid w:val="00BA3953"/>
    <w:rsid w:val="00BB2D2A"/>
    <w:rsid w:val="00BD58CF"/>
    <w:rsid w:val="00BF1BEB"/>
    <w:rsid w:val="00BF1BF9"/>
    <w:rsid w:val="00C04CC1"/>
    <w:rsid w:val="00C071FC"/>
    <w:rsid w:val="00C22C02"/>
    <w:rsid w:val="00C27F6F"/>
    <w:rsid w:val="00C30E83"/>
    <w:rsid w:val="00C50C6D"/>
    <w:rsid w:val="00C600D9"/>
    <w:rsid w:val="00C634D7"/>
    <w:rsid w:val="00C73E09"/>
    <w:rsid w:val="00C825D0"/>
    <w:rsid w:val="00CC1384"/>
    <w:rsid w:val="00CD3720"/>
    <w:rsid w:val="00CE6EAA"/>
    <w:rsid w:val="00CF1848"/>
    <w:rsid w:val="00CF5C2F"/>
    <w:rsid w:val="00D04BCF"/>
    <w:rsid w:val="00D07749"/>
    <w:rsid w:val="00D10134"/>
    <w:rsid w:val="00D143D9"/>
    <w:rsid w:val="00D4372A"/>
    <w:rsid w:val="00D60BB0"/>
    <w:rsid w:val="00D65708"/>
    <w:rsid w:val="00D8159F"/>
    <w:rsid w:val="00D856A0"/>
    <w:rsid w:val="00D87AF4"/>
    <w:rsid w:val="00DD1D04"/>
    <w:rsid w:val="00DD394B"/>
    <w:rsid w:val="00DD79D7"/>
    <w:rsid w:val="00E20431"/>
    <w:rsid w:val="00E23089"/>
    <w:rsid w:val="00E257C8"/>
    <w:rsid w:val="00E40896"/>
    <w:rsid w:val="00E43D2D"/>
    <w:rsid w:val="00E449CB"/>
    <w:rsid w:val="00E47E0D"/>
    <w:rsid w:val="00E63760"/>
    <w:rsid w:val="00E64049"/>
    <w:rsid w:val="00E67F5C"/>
    <w:rsid w:val="00E768FB"/>
    <w:rsid w:val="00E85ECE"/>
    <w:rsid w:val="00E9773B"/>
    <w:rsid w:val="00EA5C99"/>
    <w:rsid w:val="00EC13A3"/>
    <w:rsid w:val="00EC4C7E"/>
    <w:rsid w:val="00EC7C85"/>
    <w:rsid w:val="00ED28AC"/>
    <w:rsid w:val="00ED69CA"/>
    <w:rsid w:val="00EE35AB"/>
    <w:rsid w:val="00EE475B"/>
    <w:rsid w:val="00EF1DDF"/>
    <w:rsid w:val="00EF25A3"/>
    <w:rsid w:val="00F125EE"/>
    <w:rsid w:val="00F12E98"/>
    <w:rsid w:val="00F22029"/>
    <w:rsid w:val="00F23E46"/>
    <w:rsid w:val="00F3515C"/>
    <w:rsid w:val="00F36986"/>
    <w:rsid w:val="00F47BA3"/>
    <w:rsid w:val="00F56E67"/>
    <w:rsid w:val="00F630EA"/>
    <w:rsid w:val="00F6474F"/>
    <w:rsid w:val="00F7007E"/>
    <w:rsid w:val="00F73193"/>
    <w:rsid w:val="00F74F95"/>
    <w:rsid w:val="00F80705"/>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semiHidden="1"/>
    <w:lsdException w:name="annotation reference" w:semiHidden="1" w:uiPriority="99"/>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semiHidden/>
    <w:rsid w:val="00405336"/>
    <w:rPr>
      <w:sz w:val="20"/>
    </w:rPr>
  </w:style>
  <w:style w:type="character" w:customStyle="1" w:styleId="CommentTextChar">
    <w:name w:val="Comment Text Char"/>
    <w:basedOn w:val="DefaultParagraphFont"/>
    <w:link w:val="CommentText"/>
    <w:uiPriority w:val="99"/>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uiPriority w:val="99"/>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uiPriority w:val="99"/>
    <w:semiHidden/>
    <w:rsid w:val="002800B6"/>
    <w:rPr>
      <w:sz w:val="16"/>
      <w:szCs w:val="16"/>
    </w:rPr>
  </w:style>
  <w:style w:type="character" w:styleId="PlaceholderText">
    <w:name w:val="Placeholder Text"/>
    <w:basedOn w:val="DefaultParagraphFont"/>
    <w:uiPriority w:val="99"/>
    <w:semiHidden/>
    <w:rsid w:val="0041195D"/>
    <w:rPr>
      <w:color w:val="808080"/>
    </w:rPr>
  </w:style>
  <w:style w:type="paragraph" w:customStyle="1" w:styleId="Heading-Main">
    <w:name w:val="Heading-Main"/>
    <w:basedOn w:val="Normal"/>
    <w:rsid w:val="009D1A62"/>
    <w:pPr>
      <w:keepNext/>
      <w:spacing w:before="240" w:after="120"/>
      <w:outlineLvl w:val="0"/>
    </w:pPr>
    <w:rPr>
      <w:b/>
      <w:bCs/>
      <w:kern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120F-13C6-49C1-9F07-8BE2B6F8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MALCZYK George</cp:lastModifiedBy>
  <cp:revision>4</cp:revision>
  <cp:lastPrinted>2020-08-26T12:31:00Z</cp:lastPrinted>
  <dcterms:created xsi:type="dcterms:W3CDTF">2020-10-09T11:41:00Z</dcterms:created>
  <dcterms:modified xsi:type="dcterms:W3CDTF">2020-10-13T08:12:00Z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