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D5F65" w14:textId="6B4D8749" w:rsidR="00831A74" w:rsidRDefault="00831A74" w:rsidP="00831A74">
      <w:pPr>
        <w:jc w:val="both"/>
        <w:rPr>
          <w:rFonts w:ascii="Times New Roman" w:hAnsi="Times New Roman" w:cs="Times New Roman"/>
        </w:rPr>
      </w:pPr>
      <w:r>
        <w:rPr>
          <w:rFonts w:ascii="Times New Roman" w:hAnsi="Times New Roman" w:cs="Times New Roman"/>
        </w:rPr>
        <w:t>Conclusión (Gary Sánchez)</w:t>
      </w:r>
    </w:p>
    <w:p w14:paraId="15FB25E3" w14:textId="6C5E21C5" w:rsidR="001C1334" w:rsidRDefault="001C1334" w:rsidP="00831A74">
      <w:pPr>
        <w:jc w:val="both"/>
        <w:rPr>
          <w:rFonts w:ascii="Times New Roman" w:hAnsi="Times New Roman" w:cs="Times New Roman"/>
        </w:rPr>
      </w:pPr>
      <w:r w:rsidRPr="001C1334">
        <w:rPr>
          <w:rFonts w:ascii="Times New Roman" w:hAnsi="Times New Roman" w:cs="Times New Roman"/>
        </w:rPr>
        <w:t>La especificación de requisitos representa el puente formal entre lo que los interesados necesitan y lo que el equipo técnico construirá, siendo el artefacto que sustenta todo acuerdo posterior sobre el alcance y el comportamiento del sistema. El SWEBOK v4.0 define que "</w:t>
      </w:r>
      <w:proofErr w:type="spellStart"/>
      <w:r w:rsidRPr="001C1334">
        <w:rPr>
          <w:rFonts w:ascii="Times New Roman" w:hAnsi="Times New Roman" w:cs="Times New Roman"/>
        </w:rPr>
        <w:t>requirements</w:t>
      </w:r>
      <w:proofErr w:type="spellEnd"/>
      <w:r w:rsidRPr="001C1334">
        <w:rPr>
          <w:rFonts w:ascii="Times New Roman" w:hAnsi="Times New Roman" w:cs="Times New Roman"/>
        </w:rPr>
        <w:t xml:space="preserve"> </w:t>
      </w:r>
      <w:proofErr w:type="spellStart"/>
      <w:r w:rsidRPr="001C1334">
        <w:rPr>
          <w:rFonts w:ascii="Times New Roman" w:hAnsi="Times New Roman" w:cs="Times New Roman"/>
        </w:rPr>
        <w:t>specification</w:t>
      </w:r>
      <w:proofErr w:type="spellEnd"/>
      <w:r w:rsidRPr="001C1334">
        <w:rPr>
          <w:rFonts w:ascii="Times New Roman" w:hAnsi="Times New Roman" w:cs="Times New Roman"/>
        </w:rPr>
        <w:t xml:space="preserve"> </w:t>
      </w:r>
      <w:proofErr w:type="spellStart"/>
      <w:r w:rsidRPr="001C1334">
        <w:rPr>
          <w:rFonts w:ascii="Times New Roman" w:hAnsi="Times New Roman" w:cs="Times New Roman"/>
        </w:rPr>
        <w:t>concerns</w:t>
      </w:r>
      <w:proofErr w:type="spellEnd"/>
      <w:r w:rsidRPr="001C1334">
        <w:rPr>
          <w:rFonts w:ascii="Times New Roman" w:hAnsi="Times New Roman" w:cs="Times New Roman"/>
        </w:rPr>
        <w:t xml:space="preserve"> </w:t>
      </w:r>
      <w:proofErr w:type="spellStart"/>
      <w:r w:rsidRPr="001C1334">
        <w:rPr>
          <w:rFonts w:ascii="Times New Roman" w:hAnsi="Times New Roman" w:cs="Times New Roman"/>
        </w:rPr>
        <w:t>recording</w:t>
      </w:r>
      <w:proofErr w:type="spellEnd"/>
      <w:r w:rsidRPr="001C1334">
        <w:rPr>
          <w:rFonts w:ascii="Times New Roman" w:hAnsi="Times New Roman" w:cs="Times New Roman"/>
        </w:rPr>
        <w:t xml:space="preserve"> </w:t>
      </w:r>
      <w:proofErr w:type="spellStart"/>
      <w:r w:rsidRPr="001C1334">
        <w:rPr>
          <w:rFonts w:ascii="Times New Roman" w:hAnsi="Times New Roman" w:cs="Times New Roman"/>
        </w:rPr>
        <w:t>the</w:t>
      </w:r>
      <w:proofErr w:type="spellEnd"/>
      <w:r w:rsidRPr="001C1334">
        <w:rPr>
          <w:rFonts w:ascii="Times New Roman" w:hAnsi="Times New Roman" w:cs="Times New Roman"/>
        </w:rPr>
        <w:t xml:space="preserve"> </w:t>
      </w:r>
      <w:proofErr w:type="spellStart"/>
      <w:r w:rsidRPr="001C1334">
        <w:rPr>
          <w:rFonts w:ascii="Times New Roman" w:hAnsi="Times New Roman" w:cs="Times New Roman"/>
        </w:rPr>
        <w:t>requirements</w:t>
      </w:r>
      <w:proofErr w:type="spellEnd"/>
      <w:r w:rsidRPr="001C1334">
        <w:rPr>
          <w:rFonts w:ascii="Times New Roman" w:hAnsi="Times New Roman" w:cs="Times New Roman"/>
        </w:rPr>
        <w:t xml:space="preserve"> so </w:t>
      </w:r>
      <w:proofErr w:type="spellStart"/>
      <w:r w:rsidRPr="001C1334">
        <w:rPr>
          <w:rFonts w:ascii="Times New Roman" w:hAnsi="Times New Roman" w:cs="Times New Roman"/>
        </w:rPr>
        <w:t>they</w:t>
      </w:r>
      <w:proofErr w:type="spellEnd"/>
      <w:r w:rsidRPr="001C1334">
        <w:rPr>
          <w:rFonts w:ascii="Times New Roman" w:hAnsi="Times New Roman" w:cs="Times New Roman"/>
        </w:rPr>
        <w:t xml:space="preserve"> can be </w:t>
      </w:r>
      <w:proofErr w:type="spellStart"/>
      <w:r w:rsidRPr="001C1334">
        <w:rPr>
          <w:rFonts w:ascii="Times New Roman" w:hAnsi="Times New Roman" w:cs="Times New Roman"/>
        </w:rPr>
        <w:t>both</w:t>
      </w:r>
      <w:proofErr w:type="spellEnd"/>
      <w:r w:rsidRPr="001C1334">
        <w:rPr>
          <w:rFonts w:ascii="Times New Roman" w:hAnsi="Times New Roman" w:cs="Times New Roman"/>
        </w:rPr>
        <w:t xml:space="preserve"> </w:t>
      </w:r>
      <w:proofErr w:type="spellStart"/>
      <w:r w:rsidRPr="001C1334">
        <w:rPr>
          <w:rFonts w:ascii="Times New Roman" w:hAnsi="Times New Roman" w:cs="Times New Roman"/>
        </w:rPr>
        <w:t>remembered</w:t>
      </w:r>
      <w:proofErr w:type="spellEnd"/>
      <w:r w:rsidRPr="001C1334">
        <w:rPr>
          <w:rFonts w:ascii="Times New Roman" w:hAnsi="Times New Roman" w:cs="Times New Roman"/>
        </w:rPr>
        <w:t xml:space="preserve"> and </w:t>
      </w:r>
      <w:proofErr w:type="spellStart"/>
      <w:r w:rsidRPr="001C1334">
        <w:rPr>
          <w:rFonts w:ascii="Times New Roman" w:hAnsi="Times New Roman" w:cs="Times New Roman"/>
        </w:rPr>
        <w:t>communicated</w:t>
      </w:r>
      <w:proofErr w:type="spellEnd"/>
      <w:r w:rsidRPr="001C133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"/>
          <w:id w:val="-1715888880"/>
          <w:placeholder>
            <w:docPart w:val="DefaultPlaceholder_-1854013440"/>
          </w:placeholder>
        </w:sdtPr>
        <w:sdtContent>
          <w:r w:rsidRPr="001C1334">
            <w:rPr>
              <w:rFonts w:ascii="Times New Roman" w:hAnsi="Times New Roman" w:cs="Times New Roman"/>
              <w:color w:val="000000"/>
            </w:rPr>
            <w:t>[1]</w:t>
          </w:r>
        </w:sdtContent>
      </w:sdt>
      <w:r>
        <w:rPr>
          <w:rFonts w:ascii="Times New Roman" w:hAnsi="Times New Roman" w:cs="Times New Roman"/>
        </w:rPr>
        <w:t>,</w:t>
      </w:r>
      <w:r w:rsidRPr="001C1334">
        <w:rPr>
          <w:rFonts w:ascii="Times New Roman" w:hAnsi="Times New Roman" w:cs="Times New Roman"/>
        </w:rPr>
        <w:t xml:space="preserve">lo que subraya que el valor de especificar no es solo documentar, sino garantizar que la intención del sistema pueda transmitirse de forma precisa a todos los involucrados a lo largo del ciclo de vida. En </w:t>
      </w:r>
      <w:proofErr w:type="spellStart"/>
      <w:r w:rsidRPr="001C1334">
        <w:rPr>
          <w:rFonts w:ascii="Times New Roman" w:hAnsi="Times New Roman" w:cs="Times New Roman"/>
        </w:rPr>
        <w:t>PetLoving</w:t>
      </w:r>
      <w:proofErr w:type="spellEnd"/>
      <w:r w:rsidRPr="001C1334">
        <w:rPr>
          <w:rFonts w:ascii="Times New Roman" w:hAnsi="Times New Roman" w:cs="Times New Roman"/>
        </w:rPr>
        <w:t xml:space="preserve">, una especificación bien construida permite que el equipo de </w:t>
      </w:r>
      <w:proofErr w:type="spellStart"/>
      <w:r w:rsidRPr="001C1334">
        <w:rPr>
          <w:rFonts w:ascii="Times New Roman" w:hAnsi="Times New Roman" w:cs="Times New Roman"/>
        </w:rPr>
        <w:t>frontend</w:t>
      </w:r>
      <w:proofErr w:type="spellEnd"/>
      <w:r w:rsidRPr="001C1334">
        <w:rPr>
          <w:rFonts w:ascii="Times New Roman" w:hAnsi="Times New Roman" w:cs="Times New Roman"/>
        </w:rPr>
        <w:t xml:space="preserve">, el de </w:t>
      </w:r>
      <w:proofErr w:type="spellStart"/>
      <w:r w:rsidRPr="001C1334">
        <w:rPr>
          <w:rFonts w:ascii="Times New Roman" w:hAnsi="Times New Roman" w:cs="Times New Roman"/>
        </w:rPr>
        <w:t>backend</w:t>
      </w:r>
      <w:proofErr w:type="spellEnd"/>
      <w:r w:rsidRPr="001C1334">
        <w:rPr>
          <w:rFonts w:ascii="Times New Roman" w:hAnsi="Times New Roman" w:cs="Times New Roman"/>
        </w:rPr>
        <w:t xml:space="preserve"> y el de pruebas interpreten exactamente de la misma manera requisitos como el flujo de publicación de un perfil para cruce o adopción, los criterios de filtrado por especie, raza y ubicación, y las reglas de privacidad en la mensajería interna. Sin esa especificación clara, cada integrante del equipo construye según su propia interpretación, lo que genera inconsistencias costosas que solo se detectan al integrar los módulos o, peor aún, durante las pruebas finales.</w:t>
      </w:r>
      <w:r w:rsidRPr="001C1334">
        <w:rPr>
          <w:rFonts w:ascii="Times New Roman" w:hAnsi="Times New Roman" w:cs="Times New Roman"/>
        </w:rPr>
        <w:t xml:space="preserve"> </w:t>
      </w:r>
    </w:p>
    <w:p w14:paraId="418BFBA7" w14:textId="03A61834" w:rsidR="00831A74" w:rsidRPr="00831A74" w:rsidRDefault="00831A74" w:rsidP="00831A74">
      <w:pPr>
        <w:jc w:val="both"/>
        <w:rPr>
          <w:rFonts w:ascii="Times New Roman" w:hAnsi="Times New Roman" w:cs="Times New Roman"/>
          <w:b/>
          <w:bCs/>
        </w:rPr>
      </w:pPr>
      <w:r w:rsidRPr="00831A74">
        <w:rPr>
          <w:rFonts w:ascii="Times New Roman" w:hAnsi="Times New Roman" w:cs="Times New Roman"/>
          <w:b/>
          <w:bCs/>
        </w:rPr>
        <w:t>Referencia</w:t>
      </w:r>
    </w:p>
    <w:sdt>
      <w:sdtPr>
        <w:rPr>
          <w:rFonts w:ascii="Times New Roman" w:hAnsi="Times New Roman" w:cs="Times New Roman"/>
          <w:b/>
          <w:bCs/>
          <w:color w:val="000000"/>
        </w:rPr>
        <w:tag w:val="MENDELEY_BIBLIOGRAPHY"/>
        <w:id w:val="-1608573658"/>
        <w:placeholder>
          <w:docPart w:val="DefaultPlaceholder_-1854013440"/>
        </w:placeholder>
      </w:sdtPr>
      <w:sdtEndPr>
        <w:rPr>
          <w:b w:val="0"/>
        </w:rPr>
      </w:sdtEndPr>
      <w:sdtContent>
        <w:p w14:paraId="4782E926" w14:textId="77777777" w:rsidR="001C1334" w:rsidRPr="001C1334" w:rsidRDefault="001C1334">
          <w:pPr>
            <w:autoSpaceDE w:val="0"/>
            <w:autoSpaceDN w:val="0"/>
            <w:ind w:hanging="640"/>
            <w:divId w:val="1255669958"/>
            <w:rPr>
              <w:rFonts w:ascii="Times New Roman" w:eastAsia="Times New Roman" w:hAnsi="Times New Roman" w:cs="Times New Roman"/>
              <w:color w:val="000000"/>
              <w:kern w:val="0"/>
              <w14:ligatures w14:val="none"/>
            </w:rPr>
          </w:pPr>
          <w:r w:rsidRPr="001C1334">
            <w:rPr>
              <w:rFonts w:ascii="Times New Roman" w:eastAsia="Times New Roman" w:hAnsi="Times New Roman" w:cs="Times New Roman"/>
              <w:color w:val="000000"/>
            </w:rPr>
            <w:t>[1]</w:t>
          </w:r>
          <w:r w:rsidRPr="001C1334">
            <w:rPr>
              <w:rFonts w:ascii="Times New Roman" w:eastAsia="Times New Roman" w:hAnsi="Times New Roman" w:cs="Times New Roman"/>
              <w:color w:val="000000"/>
            </w:rPr>
            <w:tab/>
            <w:t xml:space="preserve">H. </w:t>
          </w:r>
          <w:proofErr w:type="spellStart"/>
          <w:r w:rsidRPr="001C1334">
            <w:rPr>
              <w:rFonts w:ascii="Times New Roman" w:eastAsia="Times New Roman" w:hAnsi="Times New Roman" w:cs="Times New Roman"/>
              <w:color w:val="000000"/>
            </w:rPr>
            <w:t>Washizaki</w:t>
          </w:r>
          <w:proofErr w:type="spellEnd"/>
          <w:r w:rsidRPr="001C1334">
            <w:rPr>
              <w:rFonts w:ascii="Times New Roman" w:eastAsia="Times New Roman" w:hAnsi="Times New Roman" w:cs="Times New Roman"/>
              <w:color w:val="000000"/>
            </w:rPr>
            <w:t xml:space="preserve"> (Ed.), </w:t>
          </w:r>
          <w:r w:rsidRPr="001C1334">
            <w:rPr>
              <w:rFonts w:ascii="Times New Roman" w:eastAsia="Times New Roman" w:hAnsi="Times New Roman" w:cs="Times New Roman"/>
              <w:i/>
              <w:iCs/>
              <w:color w:val="000000"/>
            </w:rPr>
            <w:t>SWEBOK Guide v4.0</w:t>
          </w:r>
          <w:r w:rsidRPr="001C1334">
            <w:rPr>
              <w:rFonts w:ascii="Times New Roman" w:eastAsia="Times New Roman" w:hAnsi="Times New Roman" w:cs="Times New Roman"/>
              <w:color w:val="000000"/>
            </w:rPr>
            <w:t xml:space="preserve">, 4.0. IEEE </w:t>
          </w:r>
          <w:proofErr w:type="spellStart"/>
          <w:r w:rsidRPr="001C1334">
            <w:rPr>
              <w:rFonts w:ascii="Times New Roman" w:eastAsia="Times New Roman" w:hAnsi="Times New Roman" w:cs="Times New Roman"/>
              <w:color w:val="000000"/>
            </w:rPr>
            <w:t>Computer</w:t>
          </w:r>
          <w:proofErr w:type="spellEnd"/>
          <w:r w:rsidRPr="001C1334">
            <w:rPr>
              <w:rFonts w:ascii="Times New Roman" w:eastAsia="Times New Roman" w:hAnsi="Times New Roman" w:cs="Times New Roman"/>
              <w:color w:val="000000"/>
            </w:rPr>
            <w:t xml:space="preserve"> </w:t>
          </w:r>
          <w:proofErr w:type="spellStart"/>
          <w:r w:rsidRPr="001C1334">
            <w:rPr>
              <w:rFonts w:ascii="Times New Roman" w:eastAsia="Times New Roman" w:hAnsi="Times New Roman" w:cs="Times New Roman"/>
              <w:color w:val="000000"/>
            </w:rPr>
            <w:t>Society</w:t>
          </w:r>
          <w:proofErr w:type="spellEnd"/>
          <w:r w:rsidRPr="001C1334">
            <w:rPr>
              <w:rFonts w:ascii="Times New Roman" w:eastAsia="Times New Roman" w:hAnsi="Times New Roman" w:cs="Times New Roman"/>
              <w:color w:val="000000"/>
            </w:rPr>
            <w:t xml:space="preserve">, 2024. </w:t>
          </w:r>
          <w:proofErr w:type="spellStart"/>
          <w:r w:rsidRPr="001C1334">
            <w:rPr>
              <w:rFonts w:ascii="Times New Roman" w:eastAsia="Times New Roman" w:hAnsi="Times New Roman" w:cs="Times New Roman"/>
              <w:color w:val="000000"/>
            </w:rPr>
            <w:t>Accessed</w:t>
          </w:r>
          <w:proofErr w:type="spellEnd"/>
          <w:r w:rsidRPr="001C1334">
            <w:rPr>
              <w:rFonts w:ascii="Times New Roman" w:eastAsia="Times New Roman" w:hAnsi="Times New Roman" w:cs="Times New Roman"/>
              <w:color w:val="000000"/>
            </w:rPr>
            <w:t xml:space="preserve">: May 23, 2026. [Online]. Available: tps://www.computer. </w:t>
          </w:r>
          <w:proofErr w:type="spellStart"/>
          <w:r w:rsidRPr="001C1334">
            <w:rPr>
              <w:rFonts w:ascii="Times New Roman" w:eastAsia="Times New Roman" w:hAnsi="Times New Roman" w:cs="Times New Roman"/>
              <w:color w:val="000000"/>
            </w:rPr>
            <w:t>org</w:t>
          </w:r>
          <w:proofErr w:type="spellEnd"/>
          <w:r w:rsidRPr="001C1334">
            <w:rPr>
              <w:rFonts w:ascii="Times New Roman" w:eastAsia="Times New Roman" w:hAnsi="Times New Roman" w:cs="Times New Roman"/>
              <w:color w:val="000000"/>
            </w:rPr>
            <w:t>/</w:t>
          </w:r>
          <w:proofErr w:type="spellStart"/>
          <w:r w:rsidRPr="001C1334">
            <w:rPr>
              <w:rFonts w:ascii="Times New Roman" w:eastAsia="Times New Roman" w:hAnsi="Times New Roman" w:cs="Times New Roman"/>
              <w:color w:val="000000"/>
            </w:rPr>
            <w:t>education</w:t>
          </w:r>
          <w:proofErr w:type="spellEnd"/>
          <w:r w:rsidRPr="001C1334">
            <w:rPr>
              <w:rFonts w:ascii="Times New Roman" w:eastAsia="Times New Roman" w:hAnsi="Times New Roman" w:cs="Times New Roman"/>
              <w:color w:val="000000"/>
            </w:rPr>
            <w:t>/</w:t>
          </w:r>
          <w:proofErr w:type="spellStart"/>
          <w:r w:rsidRPr="001C1334">
            <w:rPr>
              <w:rFonts w:ascii="Times New Roman" w:eastAsia="Times New Roman" w:hAnsi="Times New Roman" w:cs="Times New Roman"/>
              <w:color w:val="000000"/>
            </w:rPr>
            <w:t>bodies-of-knowledge</w:t>
          </w:r>
          <w:proofErr w:type="spellEnd"/>
          <w:r w:rsidRPr="001C1334">
            <w:rPr>
              <w:rFonts w:ascii="Times New Roman" w:eastAsia="Times New Roman" w:hAnsi="Times New Roman" w:cs="Times New Roman"/>
              <w:color w:val="000000"/>
            </w:rPr>
            <w:t>/software-</w:t>
          </w:r>
          <w:proofErr w:type="spellStart"/>
          <w:r w:rsidRPr="001C1334">
            <w:rPr>
              <w:rFonts w:ascii="Times New Roman" w:eastAsia="Times New Roman" w:hAnsi="Times New Roman" w:cs="Times New Roman"/>
              <w:color w:val="000000"/>
            </w:rPr>
            <w:t>engineering</w:t>
          </w:r>
          <w:proofErr w:type="spellEnd"/>
        </w:p>
        <w:p w14:paraId="3B12C2E6" w14:textId="043728DB" w:rsidR="00831A74" w:rsidRPr="00831A74" w:rsidRDefault="001C1334" w:rsidP="00831A74">
          <w:pPr>
            <w:jc w:val="both"/>
            <w:rPr>
              <w:rFonts w:ascii="Times New Roman" w:hAnsi="Times New Roman" w:cs="Times New Roman"/>
              <w:bCs/>
            </w:rPr>
          </w:pPr>
          <w:r w:rsidRPr="001C1334">
            <w:rPr>
              <w:rFonts w:ascii="Times New Roman" w:eastAsia="Times New Roman" w:hAnsi="Times New Roman" w:cs="Times New Roman"/>
              <w:color w:val="000000"/>
            </w:rPr>
            <w:t> </w:t>
          </w:r>
        </w:p>
      </w:sdtContent>
    </w:sdt>
    <w:sectPr w:rsidR="00831A74" w:rsidRPr="00831A7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A74"/>
    <w:rsid w:val="001C1334"/>
    <w:rsid w:val="006A289B"/>
    <w:rsid w:val="00831A74"/>
    <w:rsid w:val="009B0207"/>
    <w:rsid w:val="00B07A37"/>
    <w:rsid w:val="00BB0828"/>
    <w:rsid w:val="00BC0AFA"/>
    <w:rsid w:val="00E86F30"/>
    <w:rsid w:val="00E95E2B"/>
    <w:rsid w:val="00F833A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A8DB9"/>
  <w15:chartTrackingRefBased/>
  <w15:docId w15:val="{C19D935B-F81A-4634-8976-F3AB6248D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1A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31A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31A7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31A7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31A7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31A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1A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1A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1A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1A7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31A7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31A7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31A7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31A7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31A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1A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1A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1A74"/>
    <w:rPr>
      <w:rFonts w:eastAsiaTheme="majorEastAsia" w:cstheme="majorBidi"/>
      <w:color w:val="272727" w:themeColor="text1" w:themeTint="D8"/>
    </w:rPr>
  </w:style>
  <w:style w:type="paragraph" w:styleId="Ttulo">
    <w:name w:val="Title"/>
    <w:basedOn w:val="Normal"/>
    <w:next w:val="Normal"/>
    <w:link w:val="TtuloCar"/>
    <w:uiPriority w:val="10"/>
    <w:qFormat/>
    <w:rsid w:val="00831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1A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1A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1A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1A74"/>
    <w:pPr>
      <w:spacing w:before="160"/>
      <w:jc w:val="center"/>
    </w:pPr>
    <w:rPr>
      <w:i/>
      <w:iCs/>
      <w:color w:val="404040" w:themeColor="text1" w:themeTint="BF"/>
    </w:rPr>
  </w:style>
  <w:style w:type="character" w:customStyle="1" w:styleId="CitaCar">
    <w:name w:val="Cita Car"/>
    <w:basedOn w:val="Fuentedeprrafopredeter"/>
    <w:link w:val="Cita"/>
    <w:uiPriority w:val="29"/>
    <w:rsid w:val="00831A74"/>
    <w:rPr>
      <w:i/>
      <w:iCs/>
      <w:color w:val="404040" w:themeColor="text1" w:themeTint="BF"/>
    </w:rPr>
  </w:style>
  <w:style w:type="paragraph" w:styleId="Prrafodelista">
    <w:name w:val="List Paragraph"/>
    <w:basedOn w:val="Normal"/>
    <w:uiPriority w:val="34"/>
    <w:qFormat/>
    <w:rsid w:val="00831A74"/>
    <w:pPr>
      <w:ind w:left="720"/>
      <w:contextualSpacing/>
    </w:pPr>
  </w:style>
  <w:style w:type="character" w:styleId="nfasisintenso">
    <w:name w:val="Intense Emphasis"/>
    <w:basedOn w:val="Fuentedeprrafopredeter"/>
    <w:uiPriority w:val="21"/>
    <w:qFormat/>
    <w:rsid w:val="00831A74"/>
    <w:rPr>
      <w:i/>
      <w:iCs/>
      <w:color w:val="2F5496" w:themeColor="accent1" w:themeShade="BF"/>
    </w:rPr>
  </w:style>
  <w:style w:type="paragraph" w:styleId="Citadestacada">
    <w:name w:val="Intense Quote"/>
    <w:basedOn w:val="Normal"/>
    <w:next w:val="Normal"/>
    <w:link w:val="CitadestacadaCar"/>
    <w:uiPriority w:val="30"/>
    <w:qFormat/>
    <w:rsid w:val="00831A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31A74"/>
    <w:rPr>
      <w:i/>
      <w:iCs/>
      <w:color w:val="2F5496" w:themeColor="accent1" w:themeShade="BF"/>
    </w:rPr>
  </w:style>
  <w:style w:type="character" w:styleId="Referenciaintensa">
    <w:name w:val="Intense Reference"/>
    <w:basedOn w:val="Fuentedeprrafopredeter"/>
    <w:uiPriority w:val="32"/>
    <w:qFormat/>
    <w:rsid w:val="00831A74"/>
    <w:rPr>
      <w:b/>
      <w:bCs/>
      <w:smallCaps/>
      <w:color w:val="2F5496" w:themeColor="accent1" w:themeShade="BF"/>
      <w:spacing w:val="5"/>
    </w:rPr>
  </w:style>
  <w:style w:type="character" w:styleId="Textodelmarcadordeposicin">
    <w:name w:val="Placeholder Text"/>
    <w:basedOn w:val="Fuentedeprrafopredeter"/>
    <w:uiPriority w:val="99"/>
    <w:semiHidden/>
    <w:rsid w:val="00831A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95180">
      <w:marLeft w:val="640"/>
      <w:marRight w:val="0"/>
      <w:marTop w:val="0"/>
      <w:marBottom w:val="0"/>
      <w:divBdr>
        <w:top w:val="none" w:sz="0" w:space="0" w:color="auto"/>
        <w:left w:val="none" w:sz="0" w:space="0" w:color="auto"/>
        <w:bottom w:val="none" w:sz="0" w:space="0" w:color="auto"/>
        <w:right w:val="none" w:sz="0" w:space="0" w:color="auto"/>
      </w:divBdr>
    </w:div>
    <w:div w:id="498079302">
      <w:marLeft w:val="640"/>
      <w:marRight w:val="0"/>
      <w:marTop w:val="0"/>
      <w:marBottom w:val="0"/>
      <w:divBdr>
        <w:top w:val="none" w:sz="0" w:space="0" w:color="auto"/>
        <w:left w:val="none" w:sz="0" w:space="0" w:color="auto"/>
        <w:bottom w:val="none" w:sz="0" w:space="0" w:color="auto"/>
        <w:right w:val="none" w:sz="0" w:space="0" w:color="auto"/>
      </w:divBdr>
    </w:div>
    <w:div w:id="621766017">
      <w:marLeft w:val="640"/>
      <w:marRight w:val="0"/>
      <w:marTop w:val="0"/>
      <w:marBottom w:val="0"/>
      <w:divBdr>
        <w:top w:val="none" w:sz="0" w:space="0" w:color="auto"/>
        <w:left w:val="none" w:sz="0" w:space="0" w:color="auto"/>
        <w:bottom w:val="none" w:sz="0" w:space="0" w:color="auto"/>
        <w:right w:val="none" w:sz="0" w:space="0" w:color="auto"/>
      </w:divBdr>
    </w:div>
    <w:div w:id="983507757">
      <w:marLeft w:val="640"/>
      <w:marRight w:val="0"/>
      <w:marTop w:val="0"/>
      <w:marBottom w:val="0"/>
      <w:divBdr>
        <w:top w:val="none" w:sz="0" w:space="0" w:color="auto"/>
        <w:left w:val="none" w:sz="0" w:space="0" w:color="auto"/>
        <w:bottom w:val="none" w:sz="0" w:space="0" w:color="auto"/>
        <w:right w:val="none" w:sz="0" w:space="0" w:color="auto"/>
      </w:divBdr>
    </w:div>
    <w:div w:id="1255669958">
      <w:marLeft w:val="640"/>
      <w:marRight w:val="0"/>
      <w:marTop w:val="0"/>
      <w:marBottom w:val="0"/>
      <w:divBdr>
        <w:top w:val="none" w:sz="0" w:space="0" w:color="auto"/>
        <w:left w:val="none" w:sz="0" w:space="0" w:color="auto"/>
        <w:bottom w:val="none" w:sz="0" w:space="0" w:color="auto"/>
        <w:right w:val="none" w:sz="0" w:space="0" w:color="auto"/>
      </w:divBdr>
    </w:div>
    <w:div w:id="1538007388">
      <w:marLeft w:val="640"/>
      <w:marRight w:val="0"/>
      <w:marTop w:val="0"/>
      <w:marBottom w:val="0"/>
      <w:divBdr>
        <w:top w:val="none" w:sz="0" w:space="0" w:color="auto"/>
        <w:left w:val="none" w:sz="0" w:space="0" w:color="auto"/>
        <w:bottom w:val="none" w:sz="0" w:space="0" w:color="auto"/>
        <w:right w:val="none" w:sz="0" w:space="0" w:color="auto"/>
      </w:divBdr>
    </w:div>
    <w:div w:id="1779325732">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94300BD-7200-44D4-9E99-FB09E18606E3}"/>
      </w:docPartPr>
      <w:docPartBody>
        <w:p w:rsidR="00A235DD" w:rsidRDefault="00825734">
          <w:r w:rsidRPr="0075652E">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734"/>
    <w:rsid w:val="00825734"/>
    <w:rsid w:val="00A235DD"/>
    <w:rsid w:val="00F833A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2573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3FCB33-F2C1-4E06-BB91-FD04B3A0EF01}">
  <we:reference id="wa104382081" version="1.55.1.0" store="es-ES" storeType="OMEX"/>
  <we:alternateReferences>
    <we:reference id="wa104382081" version="1.55.1.0" store="wa104382081" storeType="OMEX"/>
  </we:alternateReferences>
  <we:properties>
    <we:property name="MENDELEY_BIBLIOGRAPHY_IS_DIRTY" value="false"/>
    <we:property name="MENDELEY_BIBLIOGRAPHY_LAST_MODIFIED" value="1779656525096"/>
    <we:property name="MENDELEY_CITATIONS" value="[{&quot;citationID&quot;:&quot;MENDELEY_CITATION_b533a43b-a73a-43b1-b994-65b67501dc07&quot;,&quot;properties&quot;:{&quot;noteIndex&quot;:0},&quot;isEdited&quot;:false,&quot;manualOverride&quot;:{&quot;isManuallyOverridden&quot;:false,&quot;citeprocText&quot;:&quot;[1]&quot;,&quot;manualOverrideText&quot;:&quot;&quot;},&quot;citationTag&quot;:&quot;MENDELEY_CITATION_v3_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&quot;,&quot;citationItems&quot;:[{&quot;id&quot;:&quot;50ddb1ef-144a-335e-a2df-2e9b286b8110&quot;,&quot;itemData&quot;:{&quot;type&quot;:&quot;book&quot;,&quot;id&quot;:&quot;50ddb1ef-144a-335e-a2df-2e9b286b8110&quot;,&quot;title&quot;:&quot;SWEBOK Guide v4.0&quot;,&quot;author&quot;:[{&quot;family&quot;:&quot;H. Washizaki (Ed.)&quot;,&quot;given&quot;:&quot;&quot;,&quot;parse-names&quot;:false,&quot;dropping-particle&quot;:&quot;&quot;,&quot;non-dropping-particle&quot;:&quot;&quot;}],&quot;accessed&quot;:{&quot;date-parts&quot;:[[2026,5,23]]},&quot;editor&quot;:[{&quot;family&quot;:&quot;Washizaki&quot;,&quot;given&quot;:&quot;Hironori&quot;,&quot;parse-names&quot;:false,&quot;dropping-particle&quot;:&quot;&quot;,&quot;non-dropping-particle&quot;:&quot;&quot;}],&quot;URL&quot;:&quot;tps://www.computer. org/education/bodies-of-knowledge/software-engineering&quot;,&quot;issued&quot;:{&quot;date-parts&quot;:[[2024]]},&quot;edition&quot;:&quot;4.0&quot;,&quot;publisher&quot;:&quot;IEEE Computer Society&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BCFD6-4666-41FB-B12F-9C70284DD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215</Words>
  <Characters>1183</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Vodruk 9029</dc:creator>
  <cp:keywords/>
  <dc:description/>
  <cp:lastModifiedBy>Vodruk 9029</cp:lastModifiedBy>
  <cp:revision>1</cp:revision>
  <dcterms:created xsi:type="dcterms:W3CDTF">2026-05-24T20:34:00Z</dcterms:created>
  <dcterms:modified xsi:type="dcterms:W3CDTF">2026-05-24T21:02:00Z</dcterms:modified>
</cp:coreProperties>
</file>