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9E12B" w14:textId="069FC9A7" w:rsidR="00AF158F" w:rsidRPr="00AF158F" w:rsidRDefault="00AF158F" w:rsidP="00AF158F">
      <w:pPr>
        <w:rPr>
          <w:rFonts w:ascii="Times New Roman" w:hAnsi="Times New Roman" w:cs="Times New Roman"/>
          <w:lang w:val="es-MX"/>
        </w:rPr>
      </w:pPr>
      <w:r w:rsidRPr="00AF158F">
        <w:rPr>
          <w:rFonts w:ascii="Times New Roman" w:hAnsi="Times New Roman" w:cs="Times New Roman"/>
          <w:b/>
          <w:bCs/>
          <w:lang w:val="es-MX"/>
        </w:rPr>
        <w:t>Conclusión (Wilson Cedeño)</w:t>
      </w:r>
    </w:p>
    <w:p w14:paraId="4533B05B" w14:textId="33E4E3AD" w:rsidR="00AF158F" w:rsidRPr="00AF158F" w:rsidRDefault="00AF158F" w:rsidP="00AF158F">
      <w:pPr>
        <w:jc w:val="both"/>
        <w:rPr>
          <w:rFonts w:ascii="Times New Roman" w:hAnsi="Times New Roman" w:cs="Times New Roman"/>
          <w:lang w:val="es-MX"/>
        </w:rPr>
      </w:pPr>
      <w:r w:rsidRPr="00AF158F">
        <w:rPr>
          <w:rFonts w:ascii="Times New Roman" w:hAnsi="Times New Roman" w:cs="Times New Roman"/>
          <w:lang w:val="es-MX"/>
        </w:rPr>
        <w:t>Definir bien el contexto y los límites del sistema desde el principio, y apoyarse en un modelo de calidad como ISO/IEC 25010, hace una diferencia real en cómo termina un proyecto de software. Básicamente ayuda a que lo que esperan los actores no quede tan lejos de lo que el sistema realmente puede hacer.</w:t>
      </w:r>
      <w:r w:rsidRPr="00AF158F">
        <w:rPr>
          <w:rFonts w:ascii="Times New Roman" w:hAnsi="Times New Roman" w:cs="Times New Roman"/>
          <w:lang w:val="es-MX"/>
        </w:rPr>
        <w:t xml:space="preserve"> </w:t>
      </w:r>
      <w:r w:rsidRPr="00AF158F">
        <w:rPr>
          <w:rFonts w:ascii="Times New Roman" w:hAnsi="Times New Roman" w:cs="Times New Roman"/>
          <w:lang w:val="es-MX"/>
        </w:rPr>
        <w:t xml:space="preserve">Esto lo respalda la norma ISO/IEC/IEEE 29148, que básicamente dice que los límites del sistema son la línea que separa lo que es parte del sistema de lo que no lo es </w:t>
      </w:r>
      <w:sdt>
        <w:sdtPr>
          <w:rPr>
            <w:rFonts w:ascii="Times New Roman" w:hAnsi="Times New Roman" w:cs="Times New Roman"/>
            <w:color w:val="000000"/>
            <w:lang w:val="es-MX"/>
          </w:rPr>
          <w:tag w:val="MENDELEY_CITATION_v3_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"/>
          <w:id w:val="1393847991"/>
          <w:placeholder>
            <w:docPart w:val="DefaultPlaceholder_-1854013440"/>
          </w:placeholder>
        </w:sdtPr>
        <w:sdtContent>
          <w:r w:rsidRPr="00AF158F">
            <w:rPr>
              <w:rFonts w:ascii="Times New Roman" w:hAnsi="Times New Roman" w:cs="Times New Roman"/>
              <w:color w:val="000000"/>
              <w:lang w:val="es-MX"/>
            </w:rPr>
            <w:t>[1]</w:t>
          </w:r>
        </w:sdtContent>
      </w:sdt>
      <w:r w:rsidRPr="00AF158F">
        <w:rPr>
          <w:rFonts w:ascii="Times New Roman" w:hAnsi="Times New Roman" w:cs="Times New Roman"/>
          <w:lang w:val="es-MX"/>
        </w:rPr>
        <w:t>. Sin esa línea bien marcada, es muy común que los proyectos empiecen a crecer sin control y terminen abarcando cosas que nunca estuvieron planeadas.</w:t>
      </w:r>
      <w:r w:rsidRPr="00AF158F">
        <w:rPr>
          <w:rFonts w:ascii="Times New Roman" w:hAnsi="Times New Roman" w:cs="Times New Roman"/>
          <w:lang w:val="es-MX"/>
        </w:rPr>
        <w:t xml:space="preserve"> </w:t>
      </w:r>
      <w:r w:rsidRPr="00AF158F">
        <w:rPr>
          <w:rFonts w:ascii="Times New Roman" w:hAnsi="Times New Roman" w:cs="Times New Roman"/>
          <w:lang w:val="es-MX"/>
        </w:rPr>
        <w:t>En el caso de la red social para mascotas, eso significa que desde el inicio hay que dejar por escrito que el sistema se encarga de las publicaciones, los perfiles y la mensajería, pero que el transporte de las mascotas o los trámites legales de adopción no son su problema. Y para cualquier ingeniero de software eso es una lección importante: aprender a negociar esos límites con el cliente desde el principio es parte del trabajo. Definir hasta dónde llega el sistema no es ponerle trabas al proyecto, es lo que permite cumplir con los tiempos y el presupuesto sin que todo se salga de control.</w:t>
      </w:r>
    </w:p>
    <w:sdt>
      <w:sdtPr>
        <w:rPr>
          <w:rFonts w:ascii="Times New Roman" w:hAnsi="Times New Roman" w:cs="Times New Roman"/>
          <w:color w:val="000000"/>
          <w:lang w:val="es-MX"/>
        </w:rPr>
        <w:tag w:val="MENDELEY_BIBLIOGRAPHY"/>
        <w:id w:val="-1700624376"/>
        <w:placeholder>
          <w:docPart w:val="DefaultPlaceholder_-1854013440"/>
        </w:placeholder>
      </w:sdtPr>
      <w:sdtContent>
        <w:p w14:paraId="73103168" w14:textId="77777777" w:rsidR="00AF158F" w:rsidRPr="00AF158F" w:rsidRDefault="00AF158F">
          <w:pPr>
            <w:autoSpaceDE w:val="0"/>
            <w:autoSpaceDN w:val="0"/>
            <w:ind w:hanging="640"/>
            <w:divId w:val="1341662030"/>
            <w:rPr>
              <w:rFonts w:ascii="Times New Roman" w:eastAsia="Times New Roman" w:hAnsi="Times New Roman" w:cs="Times New Roman"/>
              <w:color w:val="000000"/>
              <w:kern w:val="0"/>
              <w:szCs w:val="24"/>
              <w14:ligatures w14:val="none"/>
            </w:rPr>
          </w:pPr>
          <w:r w:rsidRPr="00AF158F">
            <w:rPr>
              <w:rFonts w:ascii="Times New Roman" w:eastAsia="Times New Roman" w:hAnsi="Times New Roman" w:cs="Times New Roman"/>
              <w:color w:val="000000"/>
            </w:rPr>
            <w:t>[1]</w:t>
          </w:r>
          <w:r w:rsidRPr="00AF158F">
            <w:rPr>
              <w:rFonts w:ascii="Times New Roman" w:eastAsia="Times New Roman" w:hAnsi="Times New Roman" w:cs="Times New Roman"/>
              <w:color w:val="000000"/>
            </w:rPr>
            <w:tab/>
            <w:t>ISO/IEC/IEEE, “</w:t>
          </w:r>
          <w:proofErr w:type="spellStart"/>
          <w:r w:rsidRPr="00AF158F">
            <w:rPr>
              <w:rFonts w:ascii="Times New Roman" w:eastAsia="Times New Roman" w:hAnsi="Times New Roman" w:cs="Times New Roman"/>
              <w:color w:val="000000"/>
            </w:rPr>
            <w:t>Systems</w:t>
          </w:r>
          <w:proofErr w:type="spellEnd"/>
          <w:r w:rsidRPr="00AF158F">
            <w:rPr>
              <w:rFonts w:ascii="Times New Roman" w:eastAsia="Times New Roman" w:hAnsi="Times New Roman" w:cs="Times New Roman"/>
              <w:color w:val="000000"/>
            </w:rPr>
            <w:t xml:space="preserve"> and software </w:t>
          </w:r>
          <w:proofErr w:type="spellStart"/>
          <w:r w:rsidRPr="00AF158F">
            <w:rPr>
              <w:rFonts w:ascii="Times New Roman" w:eastAsia="Times New Roman" w:hAnsi="Times New Roman" w:cs="Times New Roman"/>
              <w:color w:val="000000"/>
            </w:rPr>
            <w:t>engineering</w:t>
          </w:r>
          <w:proofErr w:type="spellEnd"/>
          <w:r w:rsidRPr="00AF158F">
            <w:rPr>
              <w:rFonts w:ascii="Times New Roman" w:eastAsia="Times New Roman" w:hAnsi="Times New Roman" w:cs="Times New Roman"/>
              <w:color w:val="000000"/>
            </w:rPr>
            <w:t xml:space="preserve">-Life </w:t>
          </w:r>
          <w:proofErr w:type="spellStart"/>
          <w:r w:rsidRPr="00AF158F">
            <w:rPr>
              <w:rFonts w:ascii="Times New Roman" w:eastAsia="Times New Roman" w:hAnsi="Times New Roman" w:cs="Times New Roman"/>
              <w:color w:val="000000"/>
            </w:rPr>
            <w:t>cycle</w:t>
          </w:r>
          <w:proofErr w:type="spellEnd"/>
          <w:r w:rsidRPr="00AF158F">
            <w:rPr>
              <w:rFonts w:ascii="Times New Roman" w:eastAsia="Times New Roman" w:hAnsi="Times New Roman" w:cs="Times New Roman"/>
              <w:color w:val="000000"/>
            </w:rPr>
            <w:t xml:space="preserve"> </w:t>
          </w:r>
          <w:proofErr w:type="spellStart"/>
          <w:r w:rsidRPr="00AF158F">
            <w:rPr>
              <w:rFonts w:ascii="Times New Roman" w:eastAsia="Times New Roman" w:hAnsi="Times New Roman" w:cs="Times New Roman"/>
              <w:color w:val="000000"/>
            </w:rPr>
            <w:t>processes-Requirements</w:t>
          </w:r>
          <w:proofErr w:type="spellEnd"/>
          <w:r w:rsidRPr="00AF158F">
            <w:rPr>
              <w:rFonts w:ascii="Times New Roman" w:eastAsia="Times New Roman" w:hAnsi="Times New Roman" w:cs="Times New Roman"/>
              <w:color w:val="000000"/>
            </w:rPr>
            <w:t xml:space="preserve"> </w:t>
          </w:r>
          <w:proofErr w:type="spellStart"/>
          <w:r w:rsidRPr="00AF158F">
            <w:rPr>
              <w:rFonts w:ascii="Times New Roman" w:eastAsia="Times New Roman" w:hAnsi="Times New Roman" w:cs="Times New Roman"/>
              <w:color w:val="000000"/>
            </w:rPr>
            <w:t>engineering</w:t>
          </w:r>
          <w:proofErr w:type="spellEnd"/>
          <w:r w:rsidRPr="00AF158F">
            <w:rPr>
              <w:rFonts w:ascii="Times New Roman" w:eastAsia="Times New Roman" w:hAnsi="Times New Roman" w:cs="Times New Roman"/>
              <w:color w:val="000000"/>
            </w:rPr>
            <w:t xml:space="preserve">,” </w:t>
          </w:r>
          <w:proofErr w:type="gramStart"/>
          <w:r w:rsidRPr="00AF158F">
            <w:rPr>
              <w:rFonts w:ascii="Times New Roman" w:eastAsia="Times New Roman" w:hAnsi="Times New Roman" w:cs="Times New Roman"/>
              <w:color w:val="000000"/>
            </w:rPr>
            <w:t>Nov.</w:t>
          </w:r>
          <w:proofErr w:type="gramEnd"/>
          <w:r w:rsidRPr="00AF158F">
            <w:rPr>
              <w:rFonts w:ascii="Times New Roman" w:eastAsia="Times New Roman" w:hAnsi="Times New Roman" w:cs="Times New Roman"/>
              <w:color w:val="000000"/>
            </w:rPr>
            <w:t xml:space="preserve"> 2018.</w:t>
          </w:r>
        </w:p>
        <w:p w14:paraId="320C0DD3" w14:textId="4F445964" w:rsidR="00AF158F" w:rsidRPr="00AF158F" w:rsidRDefault="00AF158F" w:rsidP="00AF158F">
          <w:pPr>
            <w:jc w:val="both"/>
            <w:rPr>
              <w:rFonts w:ascii="Times New Roman" w:hAnsi="Times New Roman" w:cs="Times New Roman"/>
              <w:lang w:val="es-MX"/>
            </w:rPr>
          </w:pPr>
          <w:r w:rsidRPr="00AF158F">
            <w:rPr>
              <w:rFonts w:ascii="Times New Roman" w:eastAsia="Times New Roman" w:hAnsi="Times New Roman" w:cs="Times New Roman"/>
              <w:color w:val="000000"/>
            </w:rPr>
            <w:t> </w:t>
          </w:r>
        </w:p>
      </w:sdtContent>
    </w:sdt>
    <w:p w14:paraId="36FEA0FB" w14:textId="77777777" w:rsidR="00051EA8" w:rsidRPr="00AF158F" w:rsidRDefault="00051EA8">
      <w:pPr>
        <w:rPr>
          <w:rFonts w:ascii="Times New Roman" w:hAnsi="Times New Roman" w:cs="Times New Roman"/>
        </w:rPr>
      </w:pPr>
    </w:p>
    <w:sectPr w:rsidR="00051EA8" w:rsidRPr="00AF158F" w:rsidSect="00AF158F">
      <w:pgSz w:w="12240" w:h="15840"/>
      <w:pgMar w:top="1417" w:right="1701" w:bottom="1417"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58F"/>
    <w:rsid w:val="00006E8F"/>
    <w:rsid w:val="00051EA8"/>
    <w:rsid w:val="00AF158F"/>
    <w:rsid w:val="00B80C01"/>
    <w:rsid w:val="00CE6191"/>
    <w:rsid w:val="00DB2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35D05"/>
  <w15:chartTrackingRefBased/>
  <w15:docId w15:val="{5CDC4CF2-9B8F-4DAA-943A-B7C65AF51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C"/>
    </w:rPr>
  </w:style>
  <w:style w:type="paragraph" w:styleId="Ttulo1">
    <w:name w:val="heading 1"/>
    <w:basedOn w:val="Normal"/>
    <w:next w:val="Normal"/>
    <w:link w:val="Ttulo1Car"/>
    <w:uiPriority w:val="9"/>
    <w:qFormat/>
    <w:rsid w:val="00AF15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F15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F158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F158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F158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F15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15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15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15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158F"/>
    <w:rPr>
      <w:rFonts w:asciiTheme="majorHAnsi" w:eastAsiaTheme="majorEastAsia" w:hAnsiTheme="majorHAnsi" w:cstheme="majorBidi"/>
      <w:color w:val="2F5496" w:themeColor="accent1" w:themeShade="BF"/>
      <w:sz w:val="40"/>
      <w:szCs w:val="40"/>
      <w:lang w:val="es-EC"/>
    </w:rPr>
  </w:style>
  <w:style w:type="character" w:customStyle="1" w:styleId="Ttulo2Car">
    <w:name w:val="Título 2 Car"/>
    <w:basedOn w:val="Fuentedeprrafopredeter"/>
    <w:link w:val="Ttulo2"/>
    <w:uiPriority w:val="9"/>
    <w:semiHidden/>
    <w:rsid w:val="00AF158F"/>
    <w:rPr>
      <w:rFonts w:asciiTheme="majorHAnsi" w:eastAsiaTheme="majorEastAsia" w:hAnsiTheme="majorHAnsi" w:cstheme="majorBidi"/>
      <w:color w:val="2F5496" w:themeColor="accent1" w:themeShade="BF"/>
      <w:sz w:val="32"/>
      <w:szCs w:val="32"/>
      <w:lang w:val="es-EC"/>
    </w:rPr>
  </w:style>
  <w:style w:type="character" w:customStyle="1" w:styleId="Ttulo3Car">
    <w:name w:val="Título 3 Car"/>
    <w:basedOn w:val="Fuentedeprrafopredeter"/>
    <w:link w:val="Ttulo3"/>
    <w:uiPriority w:val="9"/>
    <w:semiHidden/>
    <w:rsid w:val="00AF158F"/>
    <w:rPr>
      <w:rFonts w:eastAsiaTheme="majorEastAsia" w:cstheme="majorBidi"/>
      <w:color w:val="2F5496" w:themeColor="accent1" w:themeShade="BF"/>
      <w:sz w:val="28"/>
      <w:szCs w:val="28"/>
      <w:lang w:val="es-EC"/>
    </w:rPr>
  </w:style>
  <w:style w:type="character" w:customStyle="1" w:styleId="Ttulo4Car">
    <w:name w:val="Título 4 Car"/>
    <w:basedOn w:val="Fuentedeprrafopredeter"/>
    <w:link w:val="Ttulo4"/>
    <w:uiPriority w:val="9"/>
    <w:semiHidden/>
    <w:rsid w:val="00AF158F"/>
    <w:rPr>
      <w:rFonts w:eastAsiaTheme="majorEastAsia" w:cstheme="majorBidi"/>
      <w:i/>
      <w:iCs/>
      <w:color w:val="2F5496" w:themeColor="accent1" w:themeShade="BF"/>
      <w:lang w:val="es-EC"/>
    </w:rPr>
  </w:style>
  <w:style w:type="character" w:customStyle="1" w:styleId="Ttulo5Car">
    <w:name w:val="Título 5 Car"/>
    <w:basedOn w:val="Fuentedeprrafopredeter"/>
    <w:link w:val="Ttulo5"/>
    <w:uiPriority w:val="9"/>
    <w:semiHidden/>
    <w:rsid w:val="00AF158F"/>
    <w:rPr>
      <w:rFonts w:eastAsiaTheme="majorEastAsia" w:cstheme="majorBidi"/>
      <w:color w:val="2F5496" w:themeColor="accent1" w:themeShade="BF"/>
      <w:lang w:val="es-EC"/>
    </w:rPr>
  </w:style>
  <w:style w:type="character" w:customStyle="1" w:styleId="Ttulo6Car">
    <w:name w:val="Título 6 Car"/>
    <w:basedOn w:val="Fuentedeprrafopredeter"/>
    <w:link w:val="Ttulo6"/>
    <w:uiPriority w:val="9"/>
    <w:semiHidden/>
    <w:rsid w:val="00AF158F"/>
    <w:rPr>
      <w:rFonts w:eastAsiaTheme="majorEastAsia" w:cstheme="majorBidi"/>
      <w:i/>
      <w:iCs/>
      <w:color w:val="595959" w:themeColor="text1" w:themeTint="A6"/>
      <w:lang w:val="es-EC"/>
    </w:rPr>
  </w:style>
  <w:style w:type="character" w:customStyle="1" w:styleId="Ttulo7Car">
    <w:name w:val="Título 7 Car"/>
    <w:basedOn w:val="Fuentedeprrafopredeter"/>
    <w:link w:val="Ttulo7"/>
    <w:uiPriority w:val="9"/>
    <w:semiHidden/>
    <w:rsid w:val="00AF158F"/>
    <w:rPr>
      <w:rFonts w:eastAsiaTheme="majorEastAsia" w:cstheme="majorBidi"/>
      <w:color w:val="595959" w:themeColor="text1" w:themeTint="A6"/>
      <w:lang w:val="es-EC"/>
    </w:rPr>
  </w:style>
  <w:style w:type="character" w:customStyle="1" w:styleId="Ttulo8Car">
    <w:name w:val="Título 8 Car"/>
    <w:basedOn w:val="Fuentedeprrafopredeter"/>
    <w:link w:val="Ttulo8"/>
    <w:uiPriority w:val="9"/>
    <w:semiHidden/>
    <w:rsid w:val="00AF158F"/>
    <w:rPr>
      <w:rFonts w:eastAsiaTheme="majorEastAsia" w:cstheme="majorBidi"/>
      <w:i/>
      <w:iCs/>
      <w:color w:val="272727" w:themeColor="text1" w:themeTint="D8"/>
      <w:lang w:val="es-EC"/>
    </w:rPr>
  </w:style>
  <w:style w:type="character" w:customStyle="1" w:styleId="Ttulo9Car">
    <w:name w:val="Título 9 Car"/>
    <w:basedOn w:val="Fuentedeprrafopredeter"/>
    <w:link w:val="Ttulo9"/>
    <w:uiPriority w:val="9"/>
    <w:semiHidden/>
    <w:rsid w:val="00AF158F"/>
    <w:rPr>
      <w:rFonts w:eastAsiaTheme="majorEastAsia" w:cstheme="majorBidi"/>
      <w:color w:val="272727" w:themeColor="text1" w:themeTint="D8"/>
      <w:lang w:val="es-EC"/>
    </w:rPr>
  </w:style>
  <w:style w:type="paragraph" w:styleId="Ttulo">
    <w:name w:val="Title"/>
    <w:basedOn w:val="Normal"/>
    <w:next w:val="Normal"/>
    <w:link w:val="TtuloCar"/>
    <w:uiPriority w:val="10"/>
    <w:qFormat/>
    <w:rsid w:val="00AF1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158F"/>
    <w:rPr>
      <w:rFonts w:asciiTheme="majorHAnsi" w:eastAsiaTheme="majorEastAsia" w:hAnsiTheme="majorHAnsi" w:cstheme="majorBidi"/>
      <w:spacing w:val="-10"/>
      <w:kern w:val="28"/>
      <w:sz w:val="56"/>
      <w:szCs w:val="56"/>
      <w:lang w:val="es-EC"/>
    </w:rPr>
  </w:style>
  <w:style w:type="paragraph" w:styleId="Subttulo">
    <w:name w:val="Subtitle"/>
    <w:basedOn w:val="Normal"/>
    <w:next w:val="Normal"/>
    <w:link w:val="SubttuloCar"/>
    <w:uiPriority w:val="11"/>
    <w:qFormat/>
    <w:rsid w:val="00AF15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158F"/>
    <w:rPr>
      <w:rFonts w:eastAsiaTheme="majorEastAsia" w:cstheme="majorBidi"/>
      <w:color w:val="595959" w:themeColor="text1" w:themeTint="A6"/>
      <w:spacing w:val="15"/>
      <w:sz w:val="28"/>
      <w:szCs w:val="28"/>
      <w:lang w:val="es-EC"/>
    </w:rPr>
  </w:style>
  <w:style w:type="paragraph" w:styleId="Cita">
    <w:name w:val="Quote"/>
    <w:basedOn w:val="Normal"/>
    <w:next w:val="Normal"/>
    <w:link w:val="CitaCar"/>
    <w:uiPriority w:val="29"/>
    <w:qFormat/>
    <w:rsid w:val="00AF158F"/>
    <w:pPr>
      <w:spacing w:before="160"/>
      <w:jc w:val="center"/>
    </w:pPr>
    <w:rPr>
      <w:i/>
      <w:iCs/>
      <w:color w:val="404040" w:themeColor="text1" w:themeTint="BF"/>
    </w:rPr>
  </w:style>
  <w:style w:type="character" w:customStyle="1" w:styleId="CitaCar">
    <w:name w:val="Cita Car"/>
    <w:basedOn w:val="Fuentedeprrafopredeter"/>
    <w:link w:val="Cita"/>
    <w:uiPriority w:val="29"/>
    <w:rsid w:val="00AF158F"/>
    <w:rPr>
      <w:i/>
      <w:iCs/>
      <w:color w:val="404040" w:themeColor="text1" w:themeTint="BF"/>
      <w:lang w:val="es-EC"/>
    </w:rPr>
  </w:style>
  <w:style w:type="paragraph" w:styleId="Prrafodelista">
    <w:name w:val="List Paragraph"/>
    <w:basedOn w:val="Normal"/>
    <w:uiPriority w:val="34"/>
    <w:qFormat/>
    <w:rsid w:val="00AF158F"/>
    <w:pPr>
      <w:ind w:left="720"/>
      <w:contextualSpacing/>
    </w:pPr>
  </w:style>
  <w:style w:type="character" w:styleId="nfasisintenso">
    <w:name w:val="Intense Emphasis"/>
    <w:basedOn w:val="Fuentedeprrafopredeter"/>
    <w:uiPriority w:val="21"/>
    <w:qFormat/>
    <w:rsid w:val="00AF158F"/>
    <w:rPr>
      <w:i/>
      <w:iCs/>
      <w:color w:val="2F5496" w:themeColor="accent1" w:themeShade="BF"/>
    </w:rPr>
  </w:style>
  <w:style w:type="paragraph" w:styleId="Citadestacada">
    <w:name w:val="Intense Quote"/>
    <w:basedOn w:val="Normal"/>
    <w:next w:val="Normal"/>
    <w:link w:val="CitadestacadaCar"/>
    <w:uiPriority w:val="30"/>
    <w:qFormat/>
    <w:rsid w:val="00AF15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F158F"/>
    <w:rPr>
      <w:i/>
      <w:iCs/>
      <w:color w:val="2F5496" w:themeColor="accent1" w:themeShade="BF"/>
      <w:lang w:val="es-EC"/>
    </w:rPr>
  </w:style>
  <w:style w:type="character" w:styleId="Referenciaintensa">
    <w:name w:val="Intense Reference"/>
    <w:basedOn w:val="Fuentedeprrafopredeter"/>
    <w:uiPriority w:val="32"/>
    <w:qFormat/>
    <w:rsid w:val="00AF158F"/>
    <w:rPr>
      <w:b/>
      <w:bCs/>
      <w:smallCaps/>
      <w:color w:val="2F5496" w:themeColor="accent1" w:themeShade="BF"/>
      <w:spacing w:val="5"/>
    </w:rPr>
  </w:style>
  <w:style w:type="character" w:styleId="Textodelmarcadordeposicin">
    <w:name w:val="Placeholder Text"/>
    <w:basedOn w:val="Fuentedeprrafopredeter"/>
    <w:uiPriority w:val="99"/>
    <w:semiHidden/>
    <w:rsid w:val="00AF158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1662030">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CA07E2B-5188-455E-8425-06A85243BEA4}"/>
      </w:docPartPr>
      <w:docPartBody>
        <w:p w:rsidR="00000000" w:rsidRDefault="00611E91">
          <w:r w:rsidRPr="00745E39">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E91"/>
    <w:rsid w:val="00006E8F"/>
    <w:rsid w:val="00611E91"/>
    <w:rsid w:val="0091397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11E9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C5050FB-2706-4CA4-8F57-45EFA948A62C}">
  <we:reference id="f78a3046-9e99-4300-aa2b-5814002b01a2" version="1.55.1.0" store="EXCatalog" storeType="EXCatalog"/>
  <we:alternateReferences>
    <we:reference id="WA104382081" version="1.55.1.0" store="es-ES" storeType="OMEX"/>
  </we:alternateReferences>
  <we:properties>
    <we:property name="MENDELEY_CITATIONS" value="[{&quot;citationID&quot;:&quot;MENDELEY_CITATION_ded88091-3611-43fc-bab4-08eaea94de12&quot;,&quot;properties&quot;:{&quot;noteIndex&quot;:0},&quot;isEdited&quot;:false,&quot;manualOverride&quot;:{&quot;isManuallyOverridden&quot;:false,&quot;citeprocText&quot;:&quot;[1]&quot;,&quot;manualOverrideText&quot;:&quot;&quot;},&quot;citationTag&quot;:&quot;MENDELEY_CITATION_v3_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&quot;,&quot;citationItems&quot;:[{&quot;id&quot;:&quot;45f6f5f6-be05-399a-b74a-d4da8ddc1dba&quot;,&quot;itemData&quot;:{&quot;type&quot;:&quot;report&quot;,&quot;id&quot;:&quot;45f6f5f6-be05-399a-b74a-d4da8ddc1dba&quot;,&quot;title&quot;:&quot;Systems and software engineering-Life cycle processes-Requirements engineering&quot;,&quot;author&quot;:[{&quot;family&quot;:&quot;ISO/IEC/IEEE&quot;,&quot;given&quot;:&quot;&quot;,&quot;parse-names&quot;:false,&quot;dropping-particle&quot;:&quot;&quot;,&quot;non-dropping-particle&quot;:&quot;&quot;}],&quot;issued&quot;:{&quot;date-parts&quot;:[[2018,11]]},&quot;language&quot;:&quot;English&quot;,&quot;abstract&quot;:&quot;Ingénierie des systèmes et du logiciel-Processus du cycle de vie-Ingénierie des exigences INTERNATIONAL STANDARD ISO/IEC/ IEEE 29148 Reference number ISO/IEC/IEEE 29148:2018(E) Second edition 2018-11 iTeh Standards (https://standards.iteh.ai) Document Preview ISO/IEC/IEEE 29148:2018 https://standards.iteh.ai/catalog/standards/iso/8cf2bc2b-8b5e-4907-a82a-d1c5676c9e85/iso-iec-ieee-29148-2018&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false"/>
    <we:property name="MENDELEY_BIBLIOGRAPHY_LAST_MODIFIED" value="1779660294689"/>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3A4AA75-5E03-4134-8BAE-9E945C2F2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210</Words>
  <Characters>1158</Characters>
  <Application>Microsoft Office Word</Application>
  <DocSecurity>0</DocSecurity>
  <Lines>9</Lines>
  <Paragraphs>2</Paragraphs>
  <ScaleCrop>false</ScaleCrop>
  <Company/>
  <LinksUpToDate>false</LinksUpToDate>
  <CharactersWithSpaces>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LIZANDRO CEDEÑO CORONADO</dc:creator>
  <cp:keywords/>
  <dc:description/>
  <cp:lastModifiedBy>WILSON LIZANDRO CEDEÑO CORONADO</cp:lastModifiedBy>
  <cp:revision>1</cp:revision>
  <dcterms:created xsi:type="dcterms:W3CDTF">2026-05-24T21:58:00Z</dcterms:created>
  <dcterms:modified xsi:type="dcterms:W3CDTF">2026-05-24T22:08:00Z</dcterms:modified>
</cp:coreProperties>
</file>