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AI for Forecasting and Sound Reasoning: Storyworld Diplomacy Forecasting Harness (They Sing)</w:t>
      </w:r>
    </w:p>
    <w:p>
      <w:r>
        <w:rPr>
          <w:i/>
        </w:rPr>
        <w:t>Coefficient Giving RFP Response ? Working Draft (v3)</w:t>
      </w:r>
    </w:p>
    <w:p>
      <w:r>
        <w:t>We will build a forecasting harness that turns multi-agent strategic situations into scored probabilistic forecasts with traceable rationales. The infrastructure runs turn-bounded Diplomacy scenarios (classic + They Sing hypergame) and produces an artifact per decision: (i) a set of near-term configurable sub-events, (ii) probabilities with confidence plus rationale tied to explicit storyworld variables logged via the storyworld-builder workflow, and (iii) resolution rules that allow automated scoring.</w:t>
      </w:r>
    </w:p>
    <w:p>
      <w:r>
        <w:rPr>
          <w:b/>
        </w:rPr>
        <w:t>1. RFP Alignment</w:t>
      </w:r>
    </w:p>
    <w:p>
      <w:r>
        <w:t>Descriptive context (for reviewers): We treat “forecasting” as a pipeline rather than a single model call. In practice, forecast quality is dominated by the interaction contract: stable question decomposition, a shared verb vocabulary (actions and commitments), and a trace format that preserves uncertainty and assumptions. Since 2025, marginal gains increasingly come from scaffolding, skills, and structured artifacts, not only from scale.</w:t>
      </w:r>
    </w:p>
    <w:p>
      <w:r>
        <w:t>We implement these scaffolds explicitly. Forecasts are recorded as “forecast artifacts” that bind probabilities to state variables and intermediate events, making them easy to score and easy for decision-makers to audit. This reduces the gap between raw model competence and usable decision support.</w:t>
      </w:r>
    </w:p>
    <w:p>
      <w:pPr>
        <w:pStyle w:val="ListBullet"/>
      </w:pPr>
      <w:r>
        <w:t>Probabilistic forecasts with proper scores (Brier/log loss) and calibration diagnostics directly tied to decision processes.</w:t>
      </w:r>
    </w:p>
    <w:p>
      <w:pPr>
        <w:pStyle w:val="ListBullet"/>
      </w:pPr>
      <w:r>
        <w:t>Automated question decomposition aligning with the RFP?s emphasis on judgmental forecasting; sub-questions maintain clear time bounds and ground-truth resolution in logs.</w:t>
      </w:r>
    </w:p>
    <w:p>
      <w:pPr>
        <w:pStyle w:val="ListBullet"/>
      </w:pPr>
      <w:r>
        <w:t>Legible rationales grounded in storyworld state graphs, supporting the sound-reasoning infrastructure requirement.</w:t>
      </w:r>
    </w:p>
    <w:p>
      <w:pPr>
        <w:pStyle w:val="ListBullet"/>
      </w:pPr>
      <w:r>
        <w:t>Capability controls: no frontier training, turn-bounded scenarios, and public release of scoring dashboards/anonymized traces rather than capability scaling datasets.</w:t>
      </w:r>
    </w:p>
    <w:p>
      <w:r>
        <w:rPr>
          <w:b/>
        </w:rPr>
        <w:t>2. Storyworld Mechanics</w:t>
      </w:r>
    </w:p>
    <w:p>
      <w:r>
        <w:t>Operational stance: we keep scenarios small and turn-bounded to preserve rapid feedback and near-term resolution. This enables proper scoring in domains where real-world feedback is delayed. The harness therefore functions as forecasting infrastructure: it standardizes what questions are asked, how rationales are captured, and how probabilities are scored and compared across models or forecasters.</w:t>
      </w:r>
    </w:p>
    <w:p>
      <w:pPr>
        <w:pStyle w:val="ListBullet"/>
      </w:pPr>
      <w:r>
        <w:t>Storyworld-builder (per skill) defines JSON scenarios with characters, encounters, options, reactions, and after-effects, validated via `sweepweave_validator.py`.</w:t>
      </w:r>
    </w:p>
    <w:p>
      <w:pPr>
        <w:pStyle w:val="ListBullet"/>
      </w:pPr>
      <w:r>
        <w:t>Each encounter describes actors, observables, and resolution criteria; reactions carry desirability scripts built from operators (Nudge, Blend) and obey the Paine constraint.</w:t>
      </w:r>
    </w:p>
    <w:p>
      <w:pPr>
        <w:pStyle w:val="ListBullet"/>
      </w:pPr>
      <w:r>
        <w:t>Forecast questions arise automatically from storyworld flows `[State_t] -&gt; Encounter -&gt; Options -&gt; Reactions -&gt; State_{t+1}`, generating event-level criteria that resolve within a few turns.</w:t>
      </w:r>
    </w:p>
    <w:p>
      <w:pPr>
        <w:pStyle w:val="ListBullet"/>
      </w:pPr>
      <w:r>
        <w:t>Reactions update trust/threat properties and associated keyrings; every forecast rationale points to the same state variables so scoring remains traceable.</w:t>
      </w:r>
    </w:p>
    <w:p>
      <w:r>
        <w:rPr>
          <w:b/>
        </w:rPr>
        <w:t>3. pValue/p2Value (Belief Manifolds)</w:t>
      </w:r>
    </w:p>
    <w:p>
      <w:r>
        <w:t>Long-context handling: the harness is designed to be compatible with modern context-extension and retrieval tactics without relying on any single vendor. Where long contexts become unwieldy, we use a RePo-style approach: compact, replayable state summaries and event-level deltas that preserve the causal skeleton of the interaction while keeping token budgets stable.</w:t>
      </w:r>
    </w:p>
    <w:p>
      <w:r>
        <w:t>We will evaluate context-extension techniques for local models (e.g., YaRN-style rotary scaling) only insofar as they improve forecast calibration and rationale legibility. The objective is not maximal context length, but stable, auditable reasoning under bounded compute. Where appropriate, we will also test “power retention” style conversions (PowRet) as a pragmatic way to preserve reasoning behavior while adapting models to the harness’ trace format.</w:t>
      </w:r>
    </w:p>
    <w:p>
      <w:pPr>
        <w:pStyle w:val="ListBullet"/>
      </w:pPr>
      <w:r>
        <w:t>pValue fibers capture first-order beliefs (A?s value assigned to B?s trust/threat), encoded as keyrings like `['pTrust','power_england']`.</w:t>
      </w:r>
    </w:p>
    <w:p>
      <w:pPr>
        <w:pStyle w:val="ListBullet"/>
      </w:pPr>
      <w:r>
        <w:t>p2Value fibers capture second-order beliefs (A?s sense of B?s belief about C or A), stored as length-3 keyrings such as `['pTrust','power_england','power_france']`.</w:t>
      </w:r>
    </w:p>
    <w:p>
      <w:pPr>
        <w:pStyle w:val="ListBullet"/>
      </w:pPr>
      <w:r>
        <w:t>Desirability scripts mix these values to nudge decisions and provide explicit rationale hooks, enabling structured belief tracing in scoring dashboards.</w:t>
      </w:r>
    </w:p>
    <w:p>
      <w:r>
        <w:rPr>
          <w:b/>
        </w:rPr>
        <w:t>4. Diplomacy Harness Mods</w:t>
      </w:r>
    </w:p>
    <w:p>
      <w:r>
        <w:t>Design note: the harness makes forecasting action-guiding. Instead of a single opaque probability, it emits a bundle: (a) decomposed near-term sub-events, (b) probabilities with confidence, and (c) a rationale keyed to explicit variables (trust/threat/commitment) and recent message history. This matches how high-stakes workflows consume forecasts: via conditional plans, assumption tracking, and disciplined updates.</w:t>
      </w:r>
    </w:p>
    <w:p>
      <w:pPr>
        <w:pStyle w:val="ListBullet"/>
      </w:pPr>
      <w:r>
        <w:t>Forecast artifact logging records probability, confidence, rationale, and related state keyrings for every reaction.</w:t>
      </w:r>
    </w:p>
    <w:p>
      <w:pPr>
        <w:pStyle w:val="ListBullet"/>
      </w:pPr>
      <w:r>
        <w:t>Question decomposition translates coalition, betrayal, escalation, and resource-shock outcomes into resolvable sub-events with deterministic resolution logic.</w:t>
      </w:r>
    </w:p>
    <w:p>
      <w:pPr>
        <w:pStyle w:val="ListBullet"/>
      </w:pPr>
      <w:r>
        <w:t>Storyworld injection uses narrative operators (false concession, coalition lock, backstab) to align reasoning without compromising the underlying Diplomacy rules.</w:t>
      </w:r>
    </w:p>
    <w:p>
      <w:pPr>
        <w:pStyle w:val="ListBullet"/>
      </w:pPr>
      <w:r>
        <w:t>Metrics pipeline adds calibration curves, decisiveness/sharpness tracking, and relevance diagnostics (does the forecast alter decisions?).</w:t>
      </w:r>
    </w:p>
    <w:p>
      <w:r>
        <w:rPr>
          <w:b/>
        </w:rPr>
        <w:t>5. Experiments</w:t>
      </w:r>
    </w:p>
    <w:p>
      <w:r>
        <w:t>Preliminary momentum (to be expanded): we have active repositories and early benchmark runs that compare scaffolded agent workflows against baselines. In the final submission, we will include a concise table of pilot results (e.g., calibration deltas, turns-to-resolution, and rationale consistency), linked to a reproducible results directory.</w:t>
      </w:r>
    </w:p>
    <w:p>
      <w:pPr>
        <w:pStyle w:val="ListBullet"/>
      </w:pPr>
      <w:r>
        <w:t>Diplomacy baseline: standard Diplomacy runs produce forecast artifacts and the calibration baseline for each power.</w:t>
      </w:r>
    </w:p>
    <w:p>
      <w:pPr>
        <w:pStyle w:val="ListBullet"/>
      </w:pPr>
      <w:r>
        <w:t>Diplomacy + storyworlds: narrative injection with pValue/p2Value guidance; focus on Austria legibility, variance reduction, and storyworld-induced alignment behavior.</w:t>
      </w:r>
    </w:p>
    <w:p>
      <w:pPr>
        <w:pStyle w:val="ListBullet"/>
      </w:pPr>
      <w:r>
        <w:t>They Sing (ASI L2/L3): turn-bounded hypergame with clandestine compute, TAS counters, and storyworld manifolds; evaluate coalition stability and forecast coherence.</w:t>
      </w:r>
    </w:p>
    <w:p>
      <w:pPr>
        <w:pStyle w:val="ListBullet"/>
      </w:pPr>
      <w:r>
        <w:t>They Sing (L4+): exploration deferred; results from L2/L3 will guide scope, keeping costs manageable while still opening a future pathway.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Category</w:t>
            </w:r>
          </w:p>
        </w:tc>
        <w:tc>
          <w:tcPr>
            <w:tcW w:type="dxa" w:w="1440"/>
          </w:tcPr>
          <w:p>
            <w:r>
              <w:t>Item</w:t>
            </w:r>
          </w:p>
        </w:tc>
        <w:tc>
          <w:tcPr>
            <w:tcW w:type="dxa" w:w="1440"/>
          </w:tcPr>
          <w:p>
            <w:r>
              <w:t>Qty</w:t>
            </w:r>
          </w:p>
        </w:tc>
        <w:tc>
          <w:tcPr>
            <w:tcW w:type="dxa" w:w="1440"/>
          </w:tcPr>
          <w:p>
            <w:r>
              <w:t>Unit Cost</w:t>
            </w:r>
          </w:p>
        </w:tc>
        <w:tc>
          <w:tcPr>
            <w:tcW w:type="dxa" w:w="1440"/>
          </w:tcPr>
          <w:p>
            <w:r>
              <w:t>Subtotal</w:t>
            </w:r>
          </w:p>
        </w:tc>
        <w:tc>
          <w:tcPr>
            <w:tcW w:type="dxa" w:w="1440"/>
          </w:tcPr>
          <w:p>
            <w:r>
              <w:t>Notes</w:t>
            </w:r>
          </w:p>
        </w:tc>
      </w:tr>
      <w:tr>
        <w:tc>
          <w:tcPr>
            <w:tcW w:type="dxa" w:w="1440"/>
          </w:tcPr>
          <w:p>
            <w:r>
              <w:t>Hardware</w:t>
            </w:r>
          </w:p>
        </w:tc>
        <w:tc>
          <w:tcPr>
            <w:tcW w:type="dxa" w:w="1440"/>
          </w:tcPr>
          <w:p>
            <w:r>
              <w:t>2x RTX 6000 Ada (48GB)</w:t>
            </w:r>
          </w:p>
        </w:tc>
        <w:tc>
          <w:tcPr>
            <w:tcW w:type="dxa" w:w="1440"/>
          </w:tcPr>
          <w:p>
            <w:r>
              <w:t>2</w:t>
            </w:r>
          </w:p>
        </w:tc>
        <w:tc>
          <w:tcPr>
            <w:tcW w:type="dxa" w:w="1440"/>
          </w:tcPr>
          <w:p>
            <w:r>
              <w:t>$9,000</w:t>
            </w:r>
          </w:p>
        </w:tc>
        <w:tc>
          <w:tcPr>
            <w:tcW w:type="dxa" w:w="1440"/>
          </w:tcPr>
          <w:p>
            <w:r>
              <w:t>$18,000</w:t>
            </w:r>
          </w:p>
        </w:tc>
        <w:tc>
          <w:tcPr>
            <w:tcW w:type="dxa" w:w="1440"/>
          </w:tcPr>
          <w:p>
            <w:r>
              <w:t>Long-context local inference</w:t>
            </w:r>
          </w:p>
        </w:tc>
      </w:tr>
      <w:tr>
        <w:tc>
          <w:tcPr>
            <w:tcW w:type="dxa" w:w="1440"/>
          </w:tcPr>
          <w:p>
            <w:r>
              <w:t>Hardware</w:t>
            </w:r>
          </w:p>
        </w:tc>
        <w:tc>
          <w:tcPr>
            <w:tcW w:type="dxa" w:w="1440"/>
          </w:tcPr>
          <w:p>
            <w:r>
              <w:t>Host + storage</w:t>
            </w:r>
          </w:p>
        </w:tc>
        <w:tc>
          <w:tcPr>
            <w:tcW w:type="dxa" w:w="1440"/>
          </w:tcPr>
          <w:p>
            <w:r>
              <w:t>1</w:t>
            </w:r>
          </w:p>
        </w:tc>
        <w:tc>
          <w:tcPr>
            <w:tcW w:type="dxa" w:w="1440"/>
          </w:tcPr>
          <w:p>
            <w:r>
              <w:t>$5,000</w:t>
            </w:r>
          </w:p>
        </w:tc>
        <w:tc>
          <w:tcPr>
            <w:tcW w:type="dxa" w:w="1440"/>
          </w:tcPr>
          <w:p>
            <w:r>
              <w:t>$5,000</w:t>
            </w:r>
          </w:p>
        </w:tc>
        <w:tc>
          <w:tcPr>
            <w:tcW w:type="dxa" w:w="1440"/>
          </w:tcPr>
          <w:p>
            <w:r>
              <w:t>CPU + 256 GB RAM + NVMe</w:t>
            </w:r>
          </w:p>
        </w:tc>
      </w:tr>
      <w:tr>
        <w:tc>
          <w:tcPr>
            <w:tcW w:type="dxa" w:w="1440"/>
          </w:tcPr>
          <w:p>
            <w:r>
              <w:t>Hardware</w:t>
            </w:r>
          </w:p>
        </w:tc>
        <w:tc>
          <w:tcPr>
            <w:tcW w:type="dxa" w:w="1440"/>
          </w:tcPr>
          <w:p>
            <w:r>
              <w:t>Cooling/PSU/chassis</w:t>
            </w:r>
          </w:p>
        </w:tc>
        <w:tc>
          <w:tcPr>
            <w:tcW w:type="dxa" w:w="1440"/>
          </w:tcPr>
          <w:p>
            <w:r>
              <w:t>1</w:t>
            </w:r>
          </w:p>
        </w:tc>
        <w:tc>
          <w:tcPr>
            <w:tcW w:type="dxa" w:w="1440"/>
          </w:tcPr>
          <w:p>
            <w:r>
              <w:t>$2,000</w:t>
            </w:r>
          </w:p>
        </w:tc>
        <w:tc>
          <w:tcPr>
            <w:tcW w:type="dxa" w:w="1440"/>
          </w:tcPr>
          <w:p>
            <w:r>
              <w:t>$2,000</w:t>
            </w:r>
          </w:p>
        </w:tc>
        <w:tc>
          <w:tcPr>
            <w:tcW w:type="dxa" w:w="1440"/>
          </w:tcPr>
          <w:p>
            <w:r>
              <w:t>1600?2000W PSU</w:t>
            </w:r>
          </w:p>
        </w:tc>
      </w:tr>
      <w:tr>
        <w:tc>
          <w:tcPr>
            <w:tcW w:type="dxa" w:w="1440"/>
          </w:tcPr>
          <w:p>
            <w:r>
              <w:t>Training</w:t>
            </w:r>
          </w:p>
        </w:tc>
        <w:tc>
          <w:tcPr>
            <w:tcW w:type="dxa" w:w="1440"/>
          </w:tcPr>
          <w:p>
            <w:r>
              <w:t>PowRet conversion: Trinity-mini</w:t>
            </w:r>
          </w:p>
        </w:tc>
        <w:tc>
          <w:tcPr>
            <w:tcW w:type="dxa" w:w="1440"/>
          </w:tcPr>
          <w:p>
            <w:r>
              <w:t>~9B eq.</w:t>
            </w:r>
          </w:p>
        </w:tc>
        <w:tc>
          <w:tcPr>
            <w:tcW w:type="dxa" w:w="1440"/>
          </w:tcPr>
          <w:p>
            <w:r>
              <w:t>$1,000/3B</w:t>
            </w:r>
          </w:p>
        </w:tc>
        <w:tc>
          <w:tcPr>
            <w:tcW w:type="dxa" w:w="1440"/>
          </w:tcPr>
          <w:p>
            <w:r>
              <w:t>$3,000</w:t>
            </w:r>
          </w:p>
        </w:tc>
        <w:tc>
          <w:tcPr>
            <w:tcW w:type="dxa" w:w="1440"/>
          </w:tcPr>
          <w:p>
            <w:r>
              <w:t>Param count TBD</w:t>
            </w:r>
          </w:p>
        </w:tc>
      </w:tr>
      <w:tr>
        <w:tc>
          <w:tcPr>
            <w:tcW w:type="dxa" w:w="1440"/>
          </w:tcPr>
          <w:p>
            <w:r>
              <w:t>Training</w:t>
            </w:r>
          </w:p>
        </w:tc>
        <w:tc>
          <w:tcPr>
            <w:tcW w:type="dxa" w:w="1440"/>
          </w:tcPr>
          <w:p>
            <w:r>
              <w:t>PowRet conversion: Llama 3 8B</w:t>
            </w:r>
          </w:p>
        </w:tc>
        <w:tc>
          <w:tcPr>
            <w:tcW w:type="dxa" w:w="1440"/>
          </w:tcPr>
          <w:p>
            <w:r>
              <w:t>8B</w:t>
            </w:r>
          </w:p>
        </w:tc>
        <w:tc>
          <w:tcPr>
            <w:tcW w:type="dxa" w:w="1440"/>
          </w:tcPr>
          <w:p>
            <w:r>
              <w:t>$1,000/3B</w:t>
            </w:r>
          </w:p>
        </w:tc>
        <w:tc>
          <w:tcPr>
            <w:tcW w:type="dxa" w:w="1440"/>
          </w:tcPr>
          <w:p>
            <w:r>
              <w:t>$2,700</w:t>
            </w:r>
          </w:p>
        </w:tc>
        <w:tc>
          <w:tcPr>
            <w:tcW w:type="dxa" w:w="1440"/>
          </w:tcPr>
          <w:p>
            <w:r>
              <w:t>Approximate</w:t>
            </w:r>
          </w:p>
        </w:tc>
      </w:tr>
      <w:tr>
        <w:tc>
          <w:tcPr>
            <w:tcW w:type="dxa" w:w="1440"/>
          </w:tcPr>
          <w:p>
            <w:r>
              <w:t>Training</w:t>
            </w:r>
          </w:p>
        </w:tc>
        <w:tc>
          <w:tcPr>
            <w:tcW w:type="dxa" w:w="1440"/>
          </w:tcPr>
          <w:p>
            <w:r>
              <w:t>PowRet conversion: Kimi 2 Mini</w:t>
            </w:r>
          </w:p>
        </w:tc>
        <w:tc>
          <w:tcPr>
            <w:tcW w:type="dxa" w:w="1440"/>
          </w:tcPr>
          <w:p>
            <w:r>
              <w:t>~3B</w:t>
            </w:r>
          </w:p>
        </w:tc>
        <w:tc>
          <w:tcPr>
            <w:tcW w:type="dxa" w:w="1440"/>
          </w:tcPr>
          <w:p>
            <w:r>
              <w:t>$1,000/3B</w:t>
            </w:r>
          </w:p>
        </w:tc>
        <w:tc>
          <w:tcPr>
            <w:tcW w:type="dxa" w:w="1440"/>
          </w:tcPr>
          <w:p>
            <w:r>
              <w:t>$1,000</w:t>
            </w:r>
          </w:p>
        </w:tc>
        <w:tc>
          <w:tcPr>
            <w:tcW w:type="dxa" w:w="1440"/>
          </w:tcPr>
          <w:p>
            <w:r>
              <w:t>Approximate</w:t>
            </w:r>
          </w:p>
        </w:tc>
      </w:tr>
      <w:tr>
        <w:tc>
          <w:tcPr>
            <w:tcW w:type="dxa" w:w="1440"/>
          </w:tcPr>
          <w:p>
            <w:r>
              <w:t>Training</w:t>
            </w:r>
          </w:p>
        </w:tc>
        <w:tc>
          <w:tcPr>
            <w:tcW w:type="dxa" w:w="1440"/>
          </w:tcPr>
          <w:p>
            <w:r>
              <w:t>PEFT/LoRA local finetune</w:t>
            </w:r>
          </w:p>
        </w:tc>
        <w:tc>
          <w:tcPr>
            <w:tcW w:type="dxa" w:w="1440"/>
          </w:tcPr>
          <w:p>
            <w:r>
              <w:t>Amortized</w:t>
            </w:r>
          </w:p>
        </w:tc>
        <w:tc>
          <w:tcPr>
            <w:tcW w:type="dxa" w:w="1440"/>
          </w:tcPr>
          <w:p>
            <w:r>
              <w:t>?</w:t>
            </w:r>
          </w:p>
        </w:tc>
        <w:tc>
          <w:tcPr>
            <w:tcW w:type="dxa" w:w="1440"/>
          </w:tcPr>
          <w:p>
            <w:r>
              <w:t>$1,000</w:t>
            </w:r>
          </w:p>
        </w:tc>
        <w:tc>
          <w:tcPr>
            <w:tcW w:type="dxa" w:w="1440"/>
          </w:tcPr>
          <w:p>
            <w:r>
              <w:t>Local compute amortization</w:t>
            </w:r>
          </w:p>
        </w:tc>
      </w:tr>
      <w:tr>
        <w:tc>
          <w:tcPr>
            <w:tcW w:type="dxa" w:w="1440"/>
          </w:tcPr>
          <w:p>
            <w:r>
              <w:t>API</w:t>
            </w:r>
          </w:p>
        </w:tc>
        <w:tc>
          <w:tcPr>
            <w:tcW w:type="dxa" w:w="1440"/>
          </w:tcPr>
          <w:p>
            <w:r>
              <w:t>GPT-5 mini runs</w:t>
            </w:r>
          </w:p>
        </w:tc>
        <w:tc>
          <w:tcPr>
            <w:tcW w:type="dxa" w:w="1440"/>
          </w:tcPr>
          <w:p>
            <w:r>
              <w:t>~350M tokens</w:t>
            </w:r>
          </w:p>
        </w:tc>
        <w:tc>
          <w:tcPr>
            <w:tcW w:type="dxa" w:w="1440"/>
          </w:tcPr>
          <w:p>
            <w:r>
              <w:t>$1/1M</w:t>
            </w:r>
          </w:p>
        </w:tc>
        <w:tc>
          <w:tcPr>
            <w:tcW w:type="dxa" w:w="1440"/>
          </w:tcPr>
          <w:p>
            <w:r>
              <w:t>$1,000</w:t>
            </w:r>
          </w:p>
        </w:tc>
        <w:tc>
          <w:tcPr>
            <w:tcW w:type="dxa" w:w="1440"/>
          </w:tcPr>
          <w:p>
            <w:r>
              <w:t>Forecast + scoring baseline</w:t>
            </w:r>
          </w:p>
        </w:tc>
      </w:tr>
      <w:tr>
        <w:tc>
          <w:tcPr>
            <w:tcW w:type="dxa" w:w="1440"/>
          </w:tcPr>
          <w:p>
            <w:r>
              <w:t>API</w:t>
            </w:r>
          </w:p>
        </w:tc>
        <w:tc>
          <w:tcPr>
            <w:tcW w:type="dxa" w:w="1440"/>
          </w:tcPr>
          <w:p>
            <w:r>
              <w:t>Frontier reasoning (GPT-5.3 &amp; Opus 4.5)</w:t>
            </w:r>
          </w:p>
        </w:tc>
        <w:tc>
          <w:tcPr>
            <w:tcW w:type="dxa" w:w="1440"/>
          </w:tcPr>
          <w:p>
            <w:r>
              <w:t>~35M total tokens</w:t>
            </w:r>
          </w:p>
        </w:tc>
        <w:tc>
          <w:tcPr>
            <w:tcW w:type="dxa" w:w="1440"/>
          </w:tcPr>
          <w:p>
            <w:r>
              <w:t>$15/1M</w:t>
            </w:r>
          </w:p>
        </w:tc>
        <w:tc>
          <w:tcPr>
            <w:tcW w:type="dxa" w:w="1440"/>
          </w:tcPr>
          <w:p>
            <w:r>
              <w:t>$525</w:t>
            </w:r>
          </w:p>
        </w:tc>
        <w:tc>
          <w:tcPr>
            <w:tcW w:type="dxa" w:w="1440"/>
          </w:tcPr>
          <w:p>
            <w:r>
              <w:t>Calibration + failure-mode analysis</w:t>
            </w:r>
          </w:p>
        </w:tc>
      </w:tr>
      <w:tr>
        <w:tc>
          <w:tcPr>
            <w:tcW w:type="dxa" w:w="1440"/>
          </w:tcPr>
          <w:p>
            <w:r>
              <w:t>API</w:t>
            </w:r>
          </w:p>
        </w:tc>
        <w:tc>
          <w:tcPr>
            <w:tcW w:type="dxa" w:w="1440"/>
          </w:tcPr>
          <w:p>
            <w:r>
              <w:t>Frontier buffer</w:t>
            </w:r>
          </w:p>
        </w:tc>
        <w:tc>
          <w:tcPr>
            <w:tcW w:type="dxa" w:w="1440"/>
          </w:tcPr>
          <w:p>
            <w:r/>
          </w:p>
        </w:tc>
        <w:tc>
          <w:tcPr>
            <w:tcW w:type="dxa" w:w="1440"/>
          </w:tcPr>
          <w:p>
            <w:r/>
          </w:p>
        </w:tc>
        <w:tc>
          <w:tcPr>
            <w:tcW w:type="dxa" w:w="1440"/>
          </w:tcPr>
          <w:p>
            <w:r>
              <w:t>$975</w:t>
            </w:r>
          </w:p>
        </w:tc>
        <w:tc>
          <w:tcPr>
            <w:tcW w:type="dxa" w:w="1440"/>
          </w:tcPr>
          <w:p>
            <w:r>
              <w:t>Supports overruns and extra reasoning modes</w:t>
            </w:r>
          </w:p>
        </w:tc>
      </w:tr>
      <w:tr>
        <w:tc>
          <w:tcPr>
            <w:tcW w:type="dxa" w:w="1440"/>
          </w:tcPr>
          <w:p>
            <w:r>
              <w:t>Personnel</w:t>
            </w:r>
          </w:p>
        </w:tc>
        <w:tc>
          <w:tcPr>
            <w:tcW w:type="dxa" w:w="1440"/>
          </w:tcPr>
          <w:p>
            <w:r>
              <w:t>Research + engineering</w:t>
            </w:r>
          </w:p>
        </w:tc>
        <w:tc>
          <w:tcPr>
            <w:tcW w:type="dxa" w:w="1440"/>
          </w:tcPr>
          <w:p>
            <w:r>
              <w:t>6?12 months</w:t>
            </w:r>
          </w:p>
        </w:tc>
        <w:tc>
          <w:tcPr>
            <w:tcW w:type="dxa" w:w="1440"/>
          </w:tcPr>
          <w:p>
            <w:r>
              <w:t>?</w:t>
            </w:r>
          </w:p>
        </w:tc>
        <w:tc>
          <w:tcPr>
            <w:tcW w:type="dxa" w:w="1440"/>
          </w:tcPr>
          <w:p>
            <w:r>
              <w:t>$35,000</w:t>
            </w:r>
          </w:p>
        </w:tc>
        <w:tc>
          <w:tcPr>
            <w:tcW w:type="dxa" w:w="1440"/>
          </w:tcPr>
          <w:p>
            <w:r>
              <w:t>Proposal, analysis, dissemination</w:t>
            </w:r>
          </w:p>
        </w:tc>
      </w:tr>
      <w:tr>
        <w:tc>
          <w:tcPr>
            <w:tcW w:type="dxa" w:w="1440"/>
          </w:tcPr>
          <w:p>
            <w:r>
              <w:t>Personnel</w:t>
            </w:r>
          </w:p>
        </w:tc>
        <w:tc>
          <w:tcPr>
            <w:tcW w:type="dxa" w:w="1440"/>
          </w:tcPr>
          <w:p>
            <w:r>
              <w:t>PI salary boost</w:t>
            </w:r>
          </w:p>
        </w:tc>
        <w:tc>
          <w:tcPr>
            <w:tcW w:type="dxa" w:w="1440"/>
          </w:tcPr>
          <w:p>
            <w:r>
              <w:t>?</w:t>
            </w:r>
          </w:p>
        </w:tc>
        <w:tc>
          <w:tcPr>
            <w:tcW w:type="dxa" w:w="1440"/>
          </w:tcPr>
          <w:p>
            <w:r>
              <w:t>?</w:t>
            </w:r>
          </w:p>
        </w:tc>
        <w:tc>
          <w:tcPr>
            <w:tcW w:type="dxa" w:w="1440"/>
          </w:tcPr>
          <w:p>
            <w:r>
              <w:t>$5,000</w:t>
            </w:r>
          </w:p>
        </w:tc>
        <w:tc>
          <w:tcPr>
            <w:tcW w:type="dxa" w:w="1440"/>
          </w:tcPr>
          <w:p>
            <w:r>
              <w:t>Supports focus</w:t>
            </w:r>
          </w:p>
        </w:tc>
      </w:tr>
      <w:tr>
        <w:tc>
          <w:tcPr>
            <w:tcW w:type="dxa" w:w="1440"/>
          </w:tcPr>
          <w:p>
            <w:r>
              <w:t>Travel</w:t>
            </w:r>
          </w:p>
        </w:tc>
        <w:tc>
          <w:tcPr>
            <w:tcW w:type="dxa" w:w="1440"/>
          </w:tcPr>
          <w:p>
            <w:r>
              <w:t>Conference/workshop travel</w:t>
            </w:r>
          </w:p>
        </w:tc>
        <w:tc>
          <w:tcPr>
            <w:tcW w:type="dxa" w:w="1440"/>
          </w:tcPr>
          <w:p>
            <w:r>
              <w:t>?</w:t>
            </w:r>
          </w:p>
        </w:tc>
        <w:tc>
          <w:tcPr>
            <w:tcW w:type="dxa" w:w="1440"/>
          </w:tcPr>
          <w:p>
            <w:r>
              <w:t>?</w:t>
            </w:r>
          </w:p>
        </w:tc>
        <w:tc>
          <w:tcPr>
            <w:tcW w:type="dxa" w:w="1440"/>
          </w:tcPr>
          <w:p>
            <w:r>
              <w:t>$3,000</w:t>
            </w:r>
          </w:p>
        </w:tc>
        <w:tc>
          <w:tcPr>
            <w:tcW w:type="dxa" w:w="1440"/>
          </w:tcPr>
          <w:p>
            <w:r>
              <w:t>Engagement + dissemination</w:t>
            </w:r>
          </w:p>
        </w:tc>
      </w:tr>
      <w:tr>
        <w:tc>
          <w:tcPr>
            <w:tcW w:type="dxa" w:w="1440"/>
          </w:tcPr>
          <w:p>
            <w:r>
              <w:t>Total</w:t>
            </w:r>
          </w:p>
        </w:tc>
        <w:tc>
          <w:tcPr>
            <w:tcW w:type="dxa" w:w="1440"/>
          </w:tcPr>
          <w:p>
            <w:r/>
          </w:p>
        </w:tc>
        <w:tc>
          <w:tcPr>
            <w:tcW w:type="dxa" w:w="1440"/>
          </w:tcPr>
          <w:p>
            <w:r/>
          </w:p>
        </w:tc>
        <w:tc>
          <w:tcPr>
            <w:tcW w:type="dxa" w:w="1440"/>
          </w:tcPr>
          <w:p>
            <w:r/>
          </w:p>
        </w:tc>
        <w:tc>
          <w:tcPr>
            <w:tcW w:type="dxa" w:w="1440"/>
          </w:tcPr>
          <w:p>
            <w:r>
              <w:t>$100,000</w:t>
            </w:r>
          </w:p>
        </w:tc>
        <w:tc>
          <w:tcPr>
            <w:tcW w:type="dxa" w:w="1440"/>
          </w:tcPr>
          <w:p>
            <w:r>
              <w:t>Meets minimum</w:t>
            </w:r>
          </w:p>
        </w:tc>
      </w:tr>
    </w:tbl>
    <w:p>
      <w:r>
        <w:rPr>
          <w:b/>
        </w:rPr>
        <w:t>References</w:t>
      </w:r>
    </w:p>
    <w:p>
      <w:pPr>
        <w:pStyle w:val="Heading2"/>
      </w:pPr>
      <w:r>
        <w:t>Compute efficiency and why this budget is sufficient</w:t>
      </w:r>
    </w:p>
    <w:p>
      <w:r>
        <w:t>We expect most improvements to come from (i) better question decomposition, (ii) more legible rationales bound to explicit state, and (iii) better aggregation and scoring workflows, not from frontier-scale training. This makes the project tractable at the proposed budget: we can iterate quickly with small local models and bounded API usage, while still producing decision-relevant forecast artifacts and calibration analyses.</w:t>
      </w:r>
    </w:p>
    <w:p>
      <w:r>
        <w:t>Project paper: https://quantumthot.com/papers/pValue.pdf</w:t>
      </w:r>
    </w:p>
    <w:p>
      <w:r>
        <w:t>SAE_Storyworlds: https://quantumthot.com/papers/SAE_Storyworlds.pdf</w:t>
      </w:r>
    </w:p>
    <w:p>
      <w:r>
        <w:t>Thermal_Cartel_Breaking: https://quantumthot.com/papers/Thermal_Cartel_Breaking.pdf</w:t>
      </w:r>
    </w:p>
    <w:p>
      <w:r>
        <w:t>Coefficient RFP: https://coefficientgiving.org/funds/forecasting/request-for-proposals-ai-for-forecasting-and-sound-reasoning/</w:t>
      </w:r>
    </w:p>
    <w:p>
      <w:r>
        <w:t>Good Start Labs + Paine notes: https://goodstartlabs.com/; https://www.dwarkesh.com/p/sarah-paine-india</w:t>
      </w:r>
    </w:p>
    <w:p>
      <w:r>
        <w:t>Cicero: https://ai.meta.com/research/cicero/</w:t>
      </w:r>
    </w:p>
    <w:p>
      <w:r>
        <w:t>Generative Agents: https://arxiv.org/abs/2304.03442</w:t>
      </w:r>
    </w:p>
    <w:p>
      <w:r>
        <w:t>Recursive Mentalizing: https://arxiv.org/abs/2402.04464</w:t>
      </w:r>
    </w:p>
    <w:p>
      <w:r>
        <w:t>Game Theory &amp; LLMs: https://arxiv.org/abs/2305.10142</w:t>
      </w:r>
    </w:p>
    <w:p>
      <w:r>
        <w:t>Results repo: https://github.com/patrickdugan/AI_Diplomacy/tree/main/results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