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the GM. It holds what the players’ characters don’t know yet: where jobs come from, what every monster fears and what its bite or curse does, the threats with their numbers, and how to use the GM view’s battle map and Encounter panel. The rules themselves are all in the</w:t>
      </w:r>
      <w:r>
        <w:t xml:space="preserve"> </w:t>
      </w:r>
      <w:r>
        <w:rPr>
          <w:bCs/>
          <w:b/>
        </w:rPr>
        <w:t xml:space="preserve">Players’ Guide</w:t>
      </w:r>
      <w:r>
        <w:t xml:space="preserve">; this book only adds to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4" w:name="monsters"/>
    <w:p>
      <w:pPr>
        <w:pStyle w:val="Heading1"/>
      </w:pPr>
      <w:r>
        <w:t xml:space="preserve">Monsters</w:t>
      </w:r>
    </w:p>
    <w:p>
      <w:pPr>
        <w:pStyle w:val="FirstParagraph"/>
      </w:pPr>
      <w:r>
        <w:t xml:space="preserve">These are the secrets of the monsters in</w:t>
      </w:r>
      <w:r>
        <w:t xml:space="preserve"> </w:t>
      </w:r>
      <w:r>
        <w:rPr>
          <w:iCs/>
          <w:i/>
        </w:rPr>
        <w:t xml:space="preserve">Monsters and magic</w:t>
      </w:r>
      <w:r>
        <w:t xml:space="preserve"> </w:t>
      </w:r>
      <w:r>
        <w:t xml:space="preserve">in the Players’ Guide. Hand them out as the characters learn them: an Occult roll, a Sighted character’s Monster’s Eye, a survivor’s story, or the hard way.</w:t>
      </w:r>
    </w:p>
    <w:bookmarkStart w:id="2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End w:id="24"/>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2026-10-16T10:36:18Z</dcterms:created>
  <dcterms:modified xsi:type="dcterms:W3CDTF">2026-10-16T10:36:18Z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