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Expert.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2"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Start w:id="19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4"/>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64"/>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4"/>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64"/>
        </w:numPr>
        <w:pStyle w:val="Compact"/>
      </w:pPr>
      <w:r>
        <w:rPr>
          <w:bCs/>
          <w:b/>
        </w:rPr>
        <w:t xml:space="preserve">Cards.</w:t>
      </w:r>
      <w:r>
        <w:t xml:space="preserve"> </w:t>
      </w:r>
      <w:r>
        <w:t xml:space="preserve">One subject, what’s true about it and what that permits: as narrow as a card earned in play.</w:t>
      </w:r>
    </w:p>
    <w:p>
      <w:pPr>
        <w:numPr>
          <w:ilvl w:val="0"/>
          <w:numId w:val="1064"/>
        </w:numPr>
        <w:pStyle w:val="Compact"/>
      </w:pPr>
      <w:r>
        <w:rPr>
          <w:bCs/>
          <w:b/>
        </w:rPr>
        <w:t xml:space="preserve">Spells.</w:t>
      </w:r>
      <w:r>
        <w:t xml:space="preserve"> </w:t>
      </w:r>
      <w:r>
        <w:t xml:space="preserve">A new hex, cantrip or power matches the setting’s own: an attack marks 1 or 2 boxes at Close or Short range, and anything stronger says who resists and what it costs.</w:t>
      </w:r>
    </w:p>
    <w:p>
      <w:pPr>
        <w:numPr>
          <w:ilvl w:val="0"/>
          <w:numId w:val="1064"/>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spells and rituals. They then work like the book’s, marked</w:t>
      </w:r>
      <w:r>
        <w:t xml:space="preserve"> </w:t>
      </w:r>
      <w:r>
        <w:rPr>
          <w:iCs/>
          <w:i/>
        </w:rPr>
        <w:t xml:space="preserve">homebrew</w:t>
      </w:r>
      <w:r>
        <w:t xml:space="preserve">: threats in the Encounter panel and on the battle map, weapons in characters’ gear and the roller, Edges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91"/>
    <w:bookmarkEnd w:id="192"/>
    <w:bookmarkStart w:id="19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3"/>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Specialist: one Specialty and nine Trained. Expert: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2026-10-23T13:27:40Z</dcterms:created>
  <dcterms:modified xsi:type="dcterms:W3CDTF">2026-10-23T13:27:40Z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