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campaign:</w:t>
      </w:r>
      <w:r>
        <w:t xml:space="preserve"> </w:t>
      </w:r>
      <w:r>
        <w:t xml:space="preserve">missions,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and anyone can read it. It gathers what the GM reaches for at the table: mission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missions"/>
    <w:p>
      <w:pPr>
        <w:pStyle w:val="Heading1"/>
      </w:pPr>
      <w:r>
        <w:t xml:space="preserve">Running missions</w:t>
      </w:r>
    </w:p>
    <w:bookmarkStart w:id="20"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20"/>
    <w:bookmarkEnd w:id="21"/>
    <w:bookmarkStart w:id="23"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Start w:id="22" w:name="enemy-ships"/>
    <w:p>
      <w:pPr>
        <w:pStyle w:val="Heading2"/>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22"/>
    <w:bookmarkEnd w:id="23"/>
    <w:bookmarkStart w:id="26"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01"/>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01"/>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01"/>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whether the attacker is in reach or in range on the battle map, the boxes marked and any telling hit, offering Duty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GM’s Guide</dc:title>
  <dc:creator/>
  <cp:keywords/>
  <dcterms:created xsi:type="dcterms:W3CDTF">2026-10-18T12:06:04Z</dcterms:created>
  <dcterms:modified xsi:type="dcterms:W3CDTF">2026-10-18T12:06:04Z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campaign: missions, threats, enemy ships and the GM’s tools</vt:lpwstr>
  </property>
</Properties>
</file>