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Gothic</w:t>
      </w:r>
      <w:r>
        <w:t xml:space="preserve"> </w:t>
      </w:r>
      <w:r>
        <w:t xml:space="preserve">Western:</w:t>
      </w:r>
      <w:r>
        <w:t xml:space="preserve"> </w:t>
      </w:r>
      <w:r>
        <w:t xml:space="preserve">jobs,</w:t>
      </w:r>
      <w:r>
        <w:t xml:space="preserve"> </w:t>
      </w:r>
      <w:r>
        <w:t xml:space="preserve">monsters,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the GM. It holds what the players’ characters don’t know yet: where jobs come from, what every monster fears and what its bite or curse does, the threats with their numbers, and how to use the GM view’s battle map and Encounter panel. The rules themselves are all in the</w:t>
      </w:r>
      <w:r>
        <w:t xml:space="preserve"> </w:t>
      </w:r>
      <w:r>
        <w:rPr>
          <w:bCs/>
          <w:b/>
        </w:rPr>
        <w:t xml:space="preserve">Players’ Guide</w:t>
      </w:r>
      <w:r>
        <w:t xml:space="preserve">; this book only adds to them.</w:t>
      </w:r>
    </w:p>
    <w:bookmarkStart w:id="21" w:name="running-jobs"/>
    <w:p>
      <w:pPr>
        <w:pStyle w:val="Heading1"/>
      </w:pPr>
      <w:r>
        <w:t xml:space="preserve">Running jobs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20"/>
    <w:bookmarkEnd w:id="21"/>
    <w:bookmarkStart w:id="24" w:name="monsters"/>
    <w:p>
      <w:pPr>
        <w:pStyle w:val="Heading1"/>
      </w:pPr>
      <w:r>
        <w:t xml:space="preserve">Monsters</w:t>
      </w:r>
    </w:p>
    <w:p>
      <w:pPr>
        <w:pStyle w:val="FirstParagraph"/>
      </w:pPr>
      <w:r>
        <w:t xml:space="preserve">These are the secrets of the monsters in</w:t>
      </w:r>
      <w:r>
        <w:t xml:space="preserve"> </w:t>
      </w:r>
      <w:r>
        <w:rPr>
          <w:iCs/>
          <w:i/>
        </w:rPr>
        <w:t xml:space="preserve">Monsters and magic</w:t>
      </w:r>
      <w:r>
        <w:t xml:space="preserve"> </w:t>
      </w:r>
      <w:r>
        <w:t xml:space="preserve">in the Players’ Guide. Hand them out as the characters learn them: an Occult roll, a Sighted character’s Monster’s Eye, a survivor’s story, or the hard way.</w:t>
      </w:r>
    </w:p>
    <w:bookmarkStart w:id="22"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r>
        <w:tc>
          <w:tcPr/>
          <w:p>
            <w:pPr>
              <w:pStyle w:val="Compact"/>
              <w:jc w:val="left"/>
            </w:pPr>
            <w:r>
              <w:rPr>
                <w:b/>
                <w:sz w:val="19"/>
              </w:rPr>
              <w:t xml:space="preserve">Wendigo</w:t>
            </w:r>
          </w:p>
        </w:tc>
        <w:tc>
          <w:tcPr/>
          <w:p>
            <w:pPr>
              <w:pStyle w:val="Compact"/>
              <w:jc w:val="left"/>
            </w:pPr>
            <w:r>
              <w:rPr>
                <w:sz w:val="19"/>
              </w:rPr>
              <w:t xml:space="preserve">Fire: the only thing that truly hurts it. It is destroyed for good only when its heart of ice is cut out and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22"/>
    <w:bookmarkStart w:id="23" w:name="bites-and-curses"/>
    <w:p>
      <w:pPr>
        <w:pStyle w:val="Heading2"/>
      </w:pPr>
      <w:r>
        <w:t xml:space="preserve">Bites and curses</w:t>
      </w:r>
    </w:p>
    <w:p>
      <w:pPr>
        <w:numPr>
          <w:ilvl w:val="0"/>
          <w:numId w:val="100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0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01"/>
        </w:numPr>
        <w:pStyle w:val="Compact"/>
      </w:pPr>
      <w:r>
        <w:rPr>
          <w:bCs/>
          <w:b/>
        </w:rPr>
        <w:t xml:space="preserve">Vampire bite.</w:t>
      </w:r>
      <w:r>
        <w:t xml:space="preserve"> </w:t>
      </w:r>
      <w:r>
        <w:t xml:space="preserve">A vampire who drains a victim to Dying can choose to turn them.</w:t>
      </w:r>
    </w:p>
    <w:p>
      <w:pPr>
        <w:numPr>
          <w:ilvl w:val="0"/>
          <w:numId w:val="100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0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0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23"/>
    <w:bookmarkEnd w:id="24"/>
    <w:bookmarkStart w:id="2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and it rises again unless its heart of ice is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25"/>
    <w:bookmarkStart w:id="28" w:name="the-gms-tools"/>
    <w:p>
      <w:pPr>
        <w:pStyle w:val="Heading1"/>
      </w:pPr>
      <w:r>
        <w:t xml:space="preserve">The GM’s tools</w:t>
      </w:r>
    </w:p>
    <w:bookmarkStart w:id="26"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2"/>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2"/>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 </w:t>
      </w:r>
      <w:r>
        <w:t xml:space="preserve">in the Players’ Guide.</w:t>
      </w:r>
    </w:p>
    <w:bookmarkEnd w:id="26"/>
    <w:bookmarkStart w:id="27"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GM’s Guide</dc:title>
  <dc:creator>Don Smallwood</dc:creator>
  <cp:keywords/>
  <dcterms:created xsi:type="dcterms:W3CDTF">2026-10-16T10:37:47Z</dcterms:created>
  <dcterms:modified xsi:type="dcterms:W3CDTF">2026-10-16T10:37:47Z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Gothic Western: jobs, monsters, threats and the GM’s tools</vt:lpwstr>
  </property>
</Properties>
</file>