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and Edges. They then work like the book’s, marked</w:t>
      </w:r>
      <w:r>
        <w:t xml:space="preserve"> </w:t>
      </w:r>
      <w:r>
        <w:rPr>
          <w:iCs/>
          <w:i/>
        </w:rPr>
        <w:t xml:space="preserve">homebrew</w:t>
      </w:r>
      <w:r>
        <w:t xml:space="preserve">: threats in the Encounter panel and on the battle map, weapons in characters’ gear and the roller, Edges in the creator. Players get them when they join your shared table, or from a homebrew file you give them. A special trait or Edge is a note the GM applies at the table.</w:t>
      </w:r>
    </w:p>
    <w:bookmarkEnd w:id="149"/>
    <w:bookmarkEnd w:id="150"/>
    <w:bookmarkStart w:id="15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1"/>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2026-10-23T13:14:42Z</dcterms:created>
  <dcterms:modified xsi:type="dcterms:W3CDTF">2026-10-23T13:14:42Z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