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GM’s</w:t>
      </w:r>
      <w:r>
        <w:t xml:space="preserve"> </w:t>
      </w:r>
      <w:r>
        <w:t xml:space="preserve">Guide</w:t>
      </w:r>
    </w:p>
    <w:p>
      <w:pPr>
        <w:pStyle w:val="Subtitle"/>
      </w:pPr>
      <w:r>
        <w:t xml:space="preserve">Running</w:t>
      </w:r>
      <w:r>
        <w:t xml:space="preserve"> </w:t>
      </w: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cases,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and anyone can read it. It gathers what the GM reaches for at the table: case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saloon, 5 or 10 yards for a street, 50 for open prairie. Dragging a token or measuring shows the distance and its</w:t>
      </w:r>
      <w:r>
        <w:t xml:space="preserve"> </w:t>
      </w:r>
      <w:r>
        <w:rPr>
          <w:bCs/>
          <w:b/>
        </w:rPr>
        <w:t xml:space="preserve">range band</w:t>
      </w:r>
      <w:r>
        <w:t xml:space="preserve">, so the GM can read the penalty from the Range table in the Players’ Guide. Up close it names the reach: a knife or claws at 1 yard, a saber at 2, a spear at 3. When both the attacker and the target have tokens on the map (a character by their card, anyone else by the same name as in the Encounter panel), the panel checks the distance against the weapon: in reach, close enough to move in and strike, too far this turn, or for a gun the range band, which it sets.</w:t>
      </w:r>
    </w:p>
    <w:p>
      <w:pPr>
        <w:numPr>
          <w:ilvl w:val="0"/>
          <w:numId w:val="1001"/>
        </w:numPr>
        <w:pStyle w:val="Compact"/>
      </w:pPr>
      <w:r>
        <w:rPr>
          <w:bCs/>
          <w:b/>
        </w:rPr>
        <w:t xml:space="preserve">A range track</w:t>
      </w:r>
      <w:r>
        <w:t xml:space="preserve"> </w:t>
      </w:r>
      <w:r>
        <w:t xml:space="preserve">for fights where only distance matters: a chase after a stagecoach,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Dazed or Grit points on a token marks it on the character,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only the effects the weapon can deliver),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a wooden stake or fire), and the panel applies the rules that turn on it: a Wesen’s Tough in full woge (and what gets past it), and a creature only the right weapon can hurt, like a Siegbarste’s iron bones.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GM’s Guide</dc:title>
  <dc:creator/>
  <cp:keywords/>
  <dcterms:created xsi:type="dcterms:W3CDTF">2026-10-18T01:57:31Z</dcterms:created>
  <dcterms:modified xsi:type="dcterms:W3CDTF">2026-10-18T01:57:31Z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Gothic horror in the Grimm-verse: cases, threats and the GM’s tools</vt:lpwstr>
  </property>
</Properties>
</file>