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8" w:name="running-jobs"/>
    <w:p>
      <w:pPr>
        <w:pStyle w:val="Heading1"/>
      </w:pPr>
      <w:r>
        <w:t xml:space="preserve">Running jobs</w:t>
      </w:r>
    </w:p>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4"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 Each monster’s weakness, and what its bite or curse does, is in the</w:t>
      </w:r>
      <w:r>
        <w:t xml:space="preserve"> </w:t>
      </w:r>
      <w:r>
        <w:rPr>
          <w:iCs/>
          <w:i/>
        </w:rPr>
        <w:t xml:space="preserve">Monsters</w:t>
      </w:r>
      <w:r>
        <w:t xml:space="preserve"> </w:t>
      </w:r>
      <w:r>
        <w:t xml:space="preserve">chapter of the GM’s Guide.</w:t>
      </w:r>
    </w:p>
    <w:bookmarkEnd w:id="83"/>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2026-10-16T11:01:16Z</dcterms:created>
  <dcterms:modified xsi:type="dcterms:W3CDTF">2026-10-16T11:01:16Z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