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GM’s</w:t>
      </w:r>
      <w:r>
        <w:t xml:space="preserve"> </w:t>
      </w:r>
      <w:r>
        <w:t xml:space="preserve">Guide</w:t>
      </w:r>
    </w:p>
    <w:p>
      <w:pPr>
        <w:pStyle w:val="Subtitle"/>
      </w:pPr>
      <w:r>
        <w:t xml:space="preserve">Running</w:t>
      </w:r>
      <w:r>
        <w:t xml:space="preserve"> </w:t>
      </w: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cases,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and anyone can read it. It gathers what the GM reaches for at the table: case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6"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saloon, 5 or 10 yards for a street, 50 for open prairie. Dragging a token or measuring shows the distance and its</w:t>
      </w:r>
      <w:r>
        <w:t xml:space="preserve"> </w:t>
      </w:r>
      <w:r>
        <w:rPr>
          <w:bCs/>
          <w:b/>
        </w:rPr>
        <w:t xml:space="preserve">range band</w:t>
      </w:r>
      <w:r>
        <w:t xml:space="preserve">, so the GM can read the penalty from the Range table in the Players’ Guide. Up close it names the reach: a knife or claws at 1 yard, a saber at 2, a spear at 3. When both the attacker and the target have tokens on the map (a character by their card, anyone else by the same name as in the Encounter panel), the panel checks the distance against the weapon: in reach, close enough to move in and strike, too far this turn, or for a gun the range band, which it sets.</w:t>
      </w:r>
    </w:p>
    <w:p>
      <w:pPr>
        <w:numPr>
          <w:ilvl w:val="0"/>
          <w:numId w:val="1001"/>
        </w:numPr>
        <w:pStyle w:val="Compact"/>
      </w:pPr>
      <w:r>
        <w:rPr>
          <w:bCs/>
          <w:b/>
        </w:rPr>
        <w:t xml:space="preserve">A range track</w:t>
      </w:r>
      <w:r>
        <w:t xml:space="preserve"> </w:t>
      </w:r>
      <w:r>
        <w:t xml:space="preserve">for fights where only distance matters: a chase after a stagecoach,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Dazed or Grit points on a token marks it on the character,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only the effects the weapon can deliver),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a wooden stake or fire), and the panel applies the rules that turn on it: a Wesen’s Tough in full woge (and what gets past it), and a creature only the right weapon can hurt, like a Siegbarste’s iron bones.</w:t>
      </w:r>
    </w:p>
    <w:bookmarkEnd w:id="24"/>
    <w:bookmarkStart w:id="25" w:name="the-shared-table"/>
    <w:p>
      <w:pPr>
        <w:pStyle w:val="Heading2"/>
      </w:pPr>
      <w:r>
        <w:t xml:space="preserve">The shared table</w:t>
      </w:r>
    </w:p>
    <w:p>
      <w:pPr>
        <w:pStyle w:val="FirstParagraph"/>
      </w:pPr>
      <w:r>
        <w:t xml:space="preserve">The GM can start a</w:t>
      </w:r>
      <w:r>
        <w:t xml:space="preserve"> </w:t>
      </w:r>
      <w:r>
        <w:rPr>
          <w:bCs/>
          <w:b/>
        </w:rPr>
        <w:t xml:space="preserve">shared table</w:t>
      </w:r>
      <w:r>
        <w:t xml:space="preserve"> </w:t>
      </w:r>
      <w:r>
        <w:t xml:space="preserve">from the GM view and give the players its code; each player joins from their character’s Play tab. While they’re connected, every roll from a sheet is rolled by the table server, so the whole posse sees the same dice as they land, in a live log on the Play tab and on the GM view. A Grit reroll answers its own roll, once.</w:t>
      </w:r>
    </w:p>
    <w:p>
      <w:pPr>
        <w:pStyle w:val="BodyText"/>
      </w:pPr>
      <w:r>
        <w:t xml:space="preserve">Each player’s character is shared with the GM too: it appears among the GM view’s characters, marked at the table, and its injuries, Grit, rounds, full woge and lasting wounds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w:t>
      </w:r>
    </w:p>
    <w:p>
      <w:pPr>
        <w:pStyle w:val="BodyText"/>
      </w:pPr>
      <w:r>
        <w:t xml:space="preserve">The GM can remove a player from the table, and give the table a new code: everyone at it moves with it, and the old code stops working. Without a table, the roller works exactly as it always has.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GM’s Guide</dc:title>
  <dc:creator/>
  <cp:keywords/>
  <dcterms:created xsi:type="dcterms:W3CDTF">2026-10-18T12:30:52Z</dcterms:created>
  <dcterms:modified xsi:type="dcterms:W3CDTF">2026-10-18T12:30:52Z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Gothic horror in the Grimm-verse: cases, threats and the GM’s tools</vt:lpwstr>
  </property>
</Properties>
</file>