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GM’s</w:t>
      </w:r>
      <w:r>
        <w:t xml:space="preserve"> </w:t>
      </w:r>
      <w:r>
        <w:t xml:space="preserve">Guide</w:t>
      </w:r>
    </w:p>
    <w:p>
      <w:pPr>
        <w:pStyle w:val="Subtitle"/>
      </w:pPr>
      <w:r>
        <w:t xml:space="preserve">Running</w:t>
      </w:r>
      <w:r>
        <w:t xml:space="preserve"> </w:t>
      </w:r>
      <w:r>
        <w:t xml:space="preserve">sword</w:t>
      </w:r>
      <w:r>
        <w:t xml:space="preserve"> </w:t>
      </w:r>
      <w:r>
        <w:t xml:space="preserve">and</w:t>
      </w:r>
      <w:r>
        <w:t xml:space="preserve"> </w:t>
      </w:r>
      <w:r>
        <w:t xml:space="preserve">sorcery:</w:t>
      </w:r>
      <w:r>
        <w:t xml:space="preserve"> </w:t>
      </w:r>
      <w:r>
        <w:t xml:space="preserve">ventures,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venture seeds,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ventures"/>
    <w:p>
      <w:pPr>
        <w:pStyle w:val="Heading1"/>
      </w:pPr>
      <w:r>
        <w:t xml:space="preserve">Running ventures</w:t>
      </w:r>
    </w:p>
    <w:bookmarkStart w:id="20"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20"/>
    <w:bookmarkEnd w:id="21"/>
    <w:bookmarkStart w:id="2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22"/>
    <w:bookmarkStart w:id="24" w:name="tales"/>
    <w:p>
      <w:pPr>
        <w:pStyle w:val="Heading1"/>
      </w:pPr>
      <w:r>
        <w:t xml:space="preserve">Tales</w:t>
      </w:r>
    </w:p>
    <w:p>
      <w:pPr>
        <w:pStyle w:val="FirstParagraph"/>
      </w:pPr>
      <w:r>
        <w:t xml:space="preserve">Running investigations and recording what the heroes learn. The rules players use are in the</w:t>
      </w:r>
      <w:r>
        <w:t xml:space="preserve"> </w:t>
      </w:r>
      <w:r>
        <w:rPr>
          <w:iCs/>
          <w:i/>
        </w:rPr>
        <w:t xml:space="preserve">Tales</w:t>
      </w:r>
      <w:r>
        <w:t xml:space="preserve"> </w:t>
      </w:r>
      <w:r>
        <w:t xml:space="preserve">chapter of the Players’ Guide; here is the GM view’s Discovery panel, for clocks and tales.</w:t>
      </w:r>
    </w:p>
    <w:bookmarkStart w:id="23"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Doom they race. Start a clock with its segments per phase (or a plain progress clock for a repair or a task in the same race), and fill it as the investigation rolls succeed. It stops at the Identify gate until you name the subject; then it shows every tale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Doom too. When a clock fills,</w:t>
      </w:r>
      <w:r>
        <w:t xml:space="preserve"> </w:t>
      </w:r>
      <w:r>
        <w:rPr>
          <w:bCs/>
          <w:b/>
        </w:rPr>
        <w:t xml:space="preserve">Mint</w:t>
      </w:r>
      <w:r>
        <w:t xml:space="preserve"> </w:t>
      </w:r>
      <w:r>
        <w:t xml:space="preserve">gives the primary investigator the tale and everyone you tick as present a shared copy.</w:t>
      </w:r>
      <w:r>
        <w:t xml:space="preserve"> </w:t>
      </w:r>
      <w:r>
        <w:rPr>
          <w:bCs/>
          <w:b/>
        </w:rPr>
        <w:t xml:space="preserve">Record a finding without a clock</w:t>
      </w:r>
      <w:r>
        <w:t xml:space="preserve"> </w:t>
      </w:r>
      <w:r>
        <w:t xml:space="preserve">gives a tale for something established directly (seen or tested, a reliable account, a creature’s word with evidence behind it) to whoever you tick, and marks its price: the track or the Doom that source costs.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3"/>
    <w:bookmarkEnd w:id="24"/>
    <w:bookmarkStart w:id="27" w:name="the-gms-tools"/>
    <w:p>
      <w:pPr>
        <w:pStyle w:val="Heading1"/>
      </w:pPr>
      <w:r>
        <w:t xml:space="preserve">The GM’s tools</w:t>
      </w:r>
    </w:p>
    <w:bookmarkStart w:id="25"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Fortune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5"/>
    <w:bookmarkStart w:id="26"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Fortune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(cold iron, silver or fire), and the panel applies the rules that turn on it: a shapechanger’s Tough in their form (and what gets past it), a weakness that marks one box more, and a creature only the right weapon can hurt.</w:t>
      </w:r>
    </w:p>
    <w:p>
      <w:pPr>
        <w:pStyle w:val="BodyText"/>
      </w:pPr>
      <w:r>
        <w:rPr>
          <w:bCs/>
          <w:b/>
        </w:rPr>
        <w:t xml:space="preserve">The shared table.</w:t>
      </w:r>
      <w:r>
        <w:t xml:space="preserve"> </w:t>
      </w:r>
      <w:r>
        <w:t xml:space="preserve">The GM can start a shared table from the GM view and give the players its code; each player joins from their character’s Adventure tab. While they’re connected, every roll from a sheet is rolled by the table server, so the whole table sees the same dice as they land, in a live log on the Adventure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Adventure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GM’s Guide</dc:title>
  <dc:creator>Don Smallwood</dc:creator>
  <cp:keywords/>
  <dcterms:created xsi:type="dcterms:W3CDTF">2026-10-21T00:07:42Z</dcterms:created>
  <dcterms:modified xsi:type="dcterms:W3CDTF">2026-10-21T00:07:42Z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sword and sorcery: ventures, threats and the GM’s tools</vt:lpwstr>
  </property>
</Properties>
</file>